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0"/>
        <w:tblW w:w="31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349"/>
        <w:gridCol w:w="787"/>
        <w:gridCol w:w="937"/>
        <w:gridCol w:w="556"/>
        <w:gridCol w:w="955"/>
        <w:gridCol w:w="972"/>
        <w:gridCol w:w="2833"/>
        <w:gridCol w:w="4140"/>
        <w:gridCol w:w="8594"/>
        <w:gridCol w:w="3286"/>
        <w:gridCol w:w="7102"/>
        <w:gridCol w:w="661"/>
        <w:gridCol w:w="508"/>
      </w:tblGrid>
      <w:tr w14:paraId="2AFC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0" w:hRule="atLeast"/>
        </w:trPr>
        <w:tc>
          <w:tcPr>
            <w:tcW w:w="1136" w:type="dxa"/>
            <w:gridSpan w:val="2"/>
            <w:tcBorders>
              <w:top w:val="nil"/>
              <w:left w:val="nil"/>
              <w:bottom w:val="nil"/>
              <w:right w:val="nil"/>
            </w:tcBorders>
            <w:shd w:val="clear" w:color="auto" w:fill="auto"/>
            <w:noWrap/>
            <w:tcMar>
              <w:top w:w="10" w:type="dxa"/>
              <w:left w:w="10" w:type="dxa"/>
              <w:right w:w="10" w:type="dxa"/>
            </w:tcMar>
            <w:vAlign w:val="center"/>
          </w:tcPr>
          <w:p w14:paraId="4EEDE766">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lang w:eastAsia="zh-CN"/>
              </w:rPr>
            </w:pPr>
            <w:r>
              <w:rPr>
                <w:rStyle w:val="154"/>
                <w:strike w:val="0"/>
                <w:dstrike w:val="0"/>
                <w:color w:val="auto"/>
              </w:rPr>
              <w:t>附件</w:t>
            </w:r>
            <w:r>
              <w:rPr>
                <w:rStyle w:val="155"/>
                <w:rFonts w:hint="eastAsia" w:eastAsia="黑体"/>
                <w:strike w:val="0"/>
                <w:dstrike w:val="0"/>
                <w:color w:val="auto"/>
                <w:lang w:val="en-US" w:eastAsia="zh-CN"/>
              </w:rPr>
              <w:t>3</w:t>
            </w:r>
          </w:p>
        </w:tc>
        <w:tc>
          <w:tcPr>
            <w:tcW w:w="937" w:type="dxa"/>
            <w:tcBorders>
              <w:top w:val="nil"/>
              <w:left w:val="nil"/>
              <w:bottom w:val="nil"/>
              <w:right w:val="nil"/>
            </w:tcBorders>
            <w:shd w:val="clear" w:color="auto" w:fill="auto"/>
            <w:noWrap/>
            <w:tcMar>
              <w:top w:w="10" w:type="dxa"/>
              <w:left w:w="10" w:type="dxa"/>
              <w:right w:w="10" w:type="dxa"/>
            </w:tcMar>
            <w:vAlign w:val="center"/>
          </w:tcPr>
          <w:p w14:paraId="0DD1C1AF">
            <w:pPr>
              <w:rPr>
                <w:rFonts w:hint="eastAsia" w:ascii="宋体" w:hAnsi="宋体" w:eastAsia="宋体" w:cs="宋体"/>
                <w:i w:val="0"/>
                <w:iCs w:val="0"/>
                <w:strike w:val="0"/>
                <w:dstrike w:val="0"/>
                <w:color w:val="auto"/>
                <w:sz w:val="22"/>
                <w:szCs w:val="22"/>
                <w:u w:val="none"/>
              </w:rPr>
            </w:pPr>
          </w:p>
        </w:tc>
        <w:tc>
          <w:tcPr>
            <w:tcW w:w="556" w:type="dxa"/>
            <w:tcBorders>
              <w:top w:val="nil"/>
              <w:left w:val="nil"/>
              <w:bottom w:val="nil"/>
              <w:right w:val="nil"/>
            </w:tcBorders>
            <w:shd w:val="clear" w:color="auto" w:fill="auto"/>
            <w:noWrap/>
            <w:tcMar>
              <w:top w:w="10" w:type="dxa"/>
              <w:left w:w="10" w:type="dxa"/>
              <w:right w:w="10" w:type="dxa"/>
            </w:tcMar>
            <w:vAlign w:val="center"/>
          </w:tcPr>
          <w:p w14:paraId="38ECE987">
            <w:pPr>
              <w:rPr>
                <w:rFonts w:hint="eastAsia" w:ascii="宋体" w:hAnsi="宋体" w:eastAsia="宋体" w:cs="宋体"/>
                <w:i w:val="0"/>
                <w:iCs w:val="0"/>
                <w:strike w:val="0"/>
                <w:dstrike w:val="0"/>
                <w:color w:val="auto"/>
                <w:sz w:val="22"/>
                <w:szCs w:val="22"/>
                <w:u w:val="none"/>
              </w:rPr>
            </w:pPr>
          </w:p>
        </w:tc>
        <w:tc>
          <w:tcPr>
            <w:tcW w:w="955" w:type="dxa"/>
            <w:tcBorders>
              <w:top w:val="nil"/>
              <w:left w:val="nil"/>
              <w:bottom w:val="nil"/>
              <w:right w:val="nil"/>
            </w:tcBorders>
            <w:shd w:val="clear" w:color="auto" w:fill="auto"/>
            <w:noWrap/>
            <w:tcMar>
              <w:top w:w="10" w:type="dxa"/>
              <w:left w:w="10" w:type="dxa"/>
              <w:right w:w="10" w:type="dxa"/>
            </w:tcMar>
            <w:vAlign w:val="center"/>
          </w:tcPr>
          <w:p w14:paraId="320AE41C">
            <w:pPr>
              <w:rPr>
                <w:rFonts w:hint="eastAsia" w:ascii="宋体" w:hAnsi="宋体" w:eastAsia="宋体" w:cs="宋体"/>
                <w:i w:val="0"/>
                <w:iCs w:val="0"/>
                <w:strike w:val="0"/>
                <w:dstrike w:val="0"/>
                <w:color w:val="auto"/>
                <w:sz w:val="22"/>
                <w:szCs w:val="22"/>
                <w:u w:val="none"/>
              </w:rPr>
            </w:pPr>
          </w:p>
        </w:tc>
        <w:tc>
          <w:tcPr>
            <w:tcW w:w="972" w:type="dxa"/>
            <w:tcBorders>
              <w:top w:val="nil"/>
              <w:left w:val="nil"/>
              <w:bottom w:val="nil"/>
              <w:right w:val="nil"/>
            </w:tcBorders>
            <w:shd w:val="clear" w:color="auto" w:fill="auto"/>
            <w:noWrap/>
            <w:tcMar>
              <w:top w:w="10" w:type="dxa"/>
              <w:left w:w="10" w:type="dxa"/>
              <w:right w:w="10" w:type="dxa"/>
            </w:tcMar>
            <w:vAlign w:val="center"/>
          </w:tcPr>
          <w:p w14:paraId="32F874F6">
            <w:pPr>
              <w:rPr>
                <w:rFonts w:hint="eastAsia" w:ascii="宋体" w:hAnsi="宋体" w:eastAsia="宋体" w:cs="宋体"/>
                <w:i w:val="0"/>
                <w:iCs w:val="0"/>
                <w:strike w:val="0"/>
                <w:dstrike w:val="0"/>
                <w:color w:val="auto"/>
                <w:sz w:val="22"/>
                <w:szCs w:val="22"/>
                <w:u w:val="none"/>
              </w:rPr>
            </w:pPr>
          </w:p>
        </w:tc>
        <w:tc>
          <w:tcPr>
            <w:tcW w:w="2833" w:type="dxa"/>
            <w:tcBorders>
              <w:top w:val="nil"/>
              <w:left w:val="nil"/>
              <w:bottom w:val="nil"/>
              <w:right w:val="nil"/>
            </w:tcBorders>
            <w:shd w:val="clear" w:color="auto" w:fill="auto"/>
            <w:noWrap/>
            <w:tcMar>
              <w:top w:w="10" w:type="dxa"/>
              <w:left w:w="10" w:type="dxa"/>
              <w:right w:w="10" w:type="dxa"/>
            </w:tcMar>
            <w:vAlign w:val="center"/>
          </w:tcPr>
          <w:p w14:paraId="3EE792B8">
            <w:pPr>
              <w:rPr>
                <w:rFonts w:hint="eastAsia" w:ascii="宋体" w:hAnsi="宋体" w:eastAsia="宋体" w:cs="宋体"/>
                <w:i w:val="0"/>
                <w:iCs w:val="0"/>
                <w:strike w:val="0"/>
                <w:dstrike w:val="0"/>
                <w:color w:val="auto"/>
                <w:sz w:val="22"/>
                <w:szCs w:val="22"/>
                <w:u w:val="none"/>
              </w:rPr>
            </w:pPr>
          </w:p>
        </w:tc>
        <w:tc>
          <w:tcPr>
            <w:tcW w:w="4140" w:type="dxa"/>
            <w:tcBorders>
              <w:top w:val="nil"/>
              <w:left w:val="nil"/>
              <w:bottom w:val="nil"/>
              <w:right w:val="nil"/>
            </w:tcBorders>
            <w:shd w:val="clear" w:color="auto" w:fill="auto"/>
            <w:noWrap/>
            <w:tcMar>
              <w:top w:w="10" w:type="dxa"/>
              <w:left w:w="10" w:type="dxa"/>
              <w:right w:w="10" w:type="dxa"/>
            </w:tcMar>
            <w:vAlign w:val="center"/>
          </w:tcPr>
          <w:p w14:paraId="5C740FA3">
            <w:pPr>
              <w:rPr>
                <w:rFonts w:hint="eastAsia" w:ascii="宋体" w:hAnsi="宋体" w:eastAsia="宋体" w:cs="宋体"/>
                <w:i w:val="0"/>
                <w:iCs w:val="0"/>
                <w:strike w:val="0"/>
                <w:dstrike w:val="0"/>
                <w:color w:val="auto"/>
                <w:sz w:val="22"/>
                <w:szCs w:val="22"/>
                <w:u w:val="none"/>
              </w:rPr>
            </w:pPr>
          </w:p>
        </w:tc>
        <w:tc>
          <w:tcPr>
            <w:tcW w:w="8594" w:type="dxa"/>
            <w:tcBorders>
              <w:top w:val="nil"/>
              <w:left w:val="nil"/>
              <w:bottom w:val="nil"/>
              <w:right w:val="nil"/>
            </w:tcBorders>
            <w:shd w:val="clear" w:color="auto" w:fill="auto"/>
            <w:noWrap/>
            <w:tcMar>
              <w:top w:w="10" w:type="dxa"/>
              <w:left w:w="10" w:type="dxa"/>
              <w:right w:w="10" w:type="dxa"/>
            </w:tcMar>
            <w:vAlign w:val="center"/>
          </w:tcPr>
          <w:p w14:paraId="65DC4D82">
            <w:pPr>
              <w:rPr>
                <w:rFonts w:hint="eastAsia" w:ascii="宋体" w:hAnsi="宋体" w:eastAsia="宋体" w:cs="宋体"/>
                <w:i w:val="0"/>
                <w:iCs w:val="0"/>
                <w:strike w:val="0"/>
                <w:dstrike w:val="0"/>
                <w:color w:val="auto"/>
                <w:sz w:val="22"/>
                <w:szCs w:val="22"/>
                <w:u w:val="none"/>
              </w:rPr>
            </w:pPr>
          </w:p>
        </w:tc>
        <w:tc>
          <w:tcPr>
            <w:tcW w:w="3286" w:type="dxa"/>
            <w:tcBorders>
              <w:top w:val="nil"/>
              <w:left w:val="nil"/>
              <w:bottom w:val="nil"/>
              <w:right w:val="nil"/>
            </w:tcBorders>
            <w:shd w:val="clear" w:color="auto" w:fill="auto"/>
            <w:noWrap/>
            <w:tcMar>
              <w:top w:w="10" w:type="dxa"/>
              <w:left w:w="10" w:type="dxa"/>
              <w:right w:w="10" w:type="dxa"/>
            </w:tcMar>
            <w:vAlign w:val="center"/>
          </w:tcPr>
          <w:p w14:paraId="2CFFEB56">
            <w:pPr>
              <w:rPr>
                <w:rFonts w:hint="eastAsia" w:ascii="宋体" w:hAnsi="宋体" w:eastAsia="宋体" w:cs="宋体"/>
                <w:i w:val="0"/>
                <w:iCs w:val="0"/>
                <w:strike w:val="0"/>
                <w:dstrike w:val="0"/>
                <w:color w:val="auto"/>
                <w:sz w:val="22"/>
                <w:szCs w:val="22"/>
                <w:u w:val="none"/>
              </w:rPr>
            </w:pPr>
          </w:p>
        </w:tc>
        <w:tc>
          <w:tcPr>
            <w:tcW w:w="7102" w:type="dxa"/>
            <w:tcBorders>
              <w:top w:val="nil"/>
              <w:left w:val="nil"/>
              <w:bottom w:val="nil"/>
              <w:right w:val="nil"/>
            </w:tcBorders>
            <w:shd w:val="clear" w:color="auto" w:fill="auto"/>
            <w:noWrap/>
            <w:tcMar>
              <w:top w:w="10" w:type="dxa"/>
              <w:left w:w="10" w:type="dxa"/>
              <w:right w:w="10" w:type="dxa"/>
            </w:tcMar>
            <w:vAlign w:val="center"/>
          </w:tcPr>
          <w:p w14:paraId="39E44312">
            <w:pPr>
              <w:rPr>
                <w:rFonts w:hint="eastAsia" w:ascii="宋体" w:hAnsi="宋体" w:eastAsia="宋体" w:cs="宋体"/>
                <w:i w:val="0"/>
                <w:iCs w:val="0"/>
                <w:strike w:val="0"/>
                <w:dstrike w:val="0"/>
                <w:color w:val="auto"/>
                <w:sz w:val="22"/>
                <w:szCs w:val="22"/>
                <w:u w:val="none"/>
              </w:rPr>
            </w:pPr>
          </w:p>
        </w:tc>
        <w:tc>
          <w:tcPr>
            <w:tcW w:w="661" w:type="dxa"/>
            <w:tcBorders>
              <w:top w:val="nil"/>
              <w:left w:val="nil"/>
              <w:bottom w:val="nil"/>
              <w:right w:val="nil"/>
            </w:tcBorders>
            <w:shd w:val="clear" w:color="auto" w:fill="auto"/>
            <w:noWrap/>
            <w:tcMar>
              <w:top w:w="10" w:type="dxa"/>
              <w:left w:w="10" w:type="dxa"/>
              <w:right w:w="10" w:type="dxa"/>
            </w:tcMar>
            <w:vAlign w:val="center"/>
          </w:tcPr>
          <w:p w14:paraId="3D773CDE">
            <w:pPr>
              <w:rPr>
                <w:rFonts w:hint="eastAsia" w:ascii="宋体" w:hAnsi="宋体" w:eastAsia="宋体" w:cs="宋体"/>
                <w:i w:val="0"/>
                <w:iCs w:val="0"/>
                <w:strike w:val="0"/>
                <w:dstrike w:val="0"/>
                <w:color w:val="auto"/>
                <w:sz w:val="22"/>
                <w:szCs w:val="22"/>
                <w:u w:val="none"/>
              </w:rPr>
            </w:pPr>
          </w:p>
        </w:tc>
        <w:tc>
          <w:tcPr>
            <w:tcW w:w="508" w:type="dxa"/>
            <w:tcBorders>
              <w:top w:val="nil"/>
              <w:left w:val="nil"/>
              <w:bottom w:val="nil"/>
              <w:right w:val="nil"/>
            </w:tcBorders>
            <w:shd w:val="clear" w:color="auto" w:fill="auto"/>
            <w:noWrap/>
            <w:tcMar>
              <w:top w:w="10" w:type="dxa"/>
              <w:left w:w="10" w:type="dxa"/>
              <w:right w:w="10" w:type="dxa"/>
            </w:tcMar>
            <w:vAlign w:val="center"/>
          </w:tcPr>
          <w:p w14:paraId="36071A87">
            <w:pPr>
              <w:rPr>
                <w:rFonts w:hint="eastAsia" w:ascii="宋体" w:hAnsi="宋体" w:eastAsia="宋体" w:cs="宋体"/>
                <w:i w:val="0"/>
                <w:iCs w:val="0"/>
                <w:strike w:val="0"/>
                <w:dstrike w:val="0"/>
                <w:color w:val="auto"/>
                <w:sz w:val="22"/>
                <w:szCs w:val="22"/>
                <w:u w:val="none"/>
              </w:rPr>
            </w:pPr>
          </w:p>
        </w:tc>
      </w:tr>
      <w:tr w14:paraId="02A3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31680" w:type="dxa"/>
            <w:gridSpan w:val="13"/>
            <w:tcBorders>
              <w:top w:val="nil"/>
              <w:left w:val="nil"/>
              <w:bottom w:val="nil"/>
              <w:right w:val="nil"/>
            </w:tcBorders>
            <w:shd w:val="clear" w:color="auto" w:fill="auto"/>
            <w:noWrap/>
            <w:tcMar>
              <w:top w:w="10" w:type="dxa"/>
              <w:left w:w="10" w:type="dxa"/>
              <w:right w:w="10" w:type="dxa"/>
            </w:tcMar>
            <w:vAlign w:val="center"/>
          </w:tcPr>
          <w:p w14:paraId="0E67F1C2">
            <w:pPr>
              <w:keepNext w:val="0"/>
              <w:keepLines w:val="0"/>
              <w:widowControl/>
              <w:suppressLineNumbers w:val="0"/>
              <w:jc w:val="center"/>
              <w:textAlignment w:val="center"/>
              <w:rPr>
                <w:rFonts w:hint="default" w:ascii="方正小标宋简体" w:hAnsi="方正小标宋简体" w:eastAsia="方正小标宋简体" w:cs="方正小标宋简体"/>
                <w:i w:val="0"/>
                <w:iCs w:val="0"/>
                <w:strike w:val="0"/>
                <w:dstrike w:val="0"/>
                <w:color w:val="auto"/>
                <w:sz w:val="44"/>
                <w:szCs w:val="44"/>
                <w:u w:val="none"/>
              </w:rPr>
            </w:pPr>
            <w:r>
              <w:rPr>
                <w:rFonts w:hint="default" w:ascii="方正小标宋简体" w:hAnsi="方正小标宋简体" w:eastAsia="方正小标宋简体" w:cs="方正小标宋简体"/>
                <w:i w:val="0"/>
                <w:iCs w:val="0"/>
                <w:strike w:val="0"/>
                <w:dstrike w:val="0"/>
                <w:color w:val="auto"/>
                <w:sz w:val="44"/>
                <w:szCs w:val="44"/>
                <w:u w:val="none"/>
              </w:rPr>
              <w:t>柳州市水利局权责清单</w:t>
            </w:r>
          </w:p>
        </w:tc>
      </w:tr>
      <w:tr w14:paraId="1EE9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31680" w:type="dxa"/>
            <w:gridSpan w:val="13"/>
            <w:tcBorders>
              <w:top w:val="nil"/>
              <w:left w:val="nil"/>
              <w:bottom w:val="single" w:color="auto" w:sz="4" w:space="0"/>
              <w:right w:val="nil"/>
            </w:tcBorders>
            <w:shd w:val="clear" w:color="auto" w:fill="auto"/>
            <w:noWrap/>
            <w:tcMar>
              <w:top w:w="10" w:type="dxa"/>
              <w:left w:w="10" w:type="dxa"/>
              <w:right w:w="10" w:type="dxa"/>
            </w:tcMar>
            <w:vAlign w:val="center"/>
          </w:tcPr>
          <w:p w14:paraId="44A164E7">
            <w:pPr>
              <w:keepNext w:val="0"/>
              <w:keepLines w:val="0"/>
              <w:widowControl/>
              <w:suppressLineNumbers w:val="0"/>
              <w:jc w:val="center"/>
              <w:textAlignment w:val="center"/>
              <w:rPr>
                <w:rFonts w:hint="eastAsia" w:ascii="黑体" w:hAnsi="宋体" w:eastAsia="黑体" w:cs="黑体"/>
                <w:i w:val="0"/>
                <w:iCs w:val="0"/>
                <w:strike w:val="0"/>
                <w:dstrike w:val="0"/>
                <w:color w:val="auto"/>
                <w:sz w:val="22"/>
                <w:szCs w:val="22"/>
                <w:u w:val="none"/>
              </w:rPr>
            </w:pPr>
            <w:r>
              <w:rPr>
                <w:rFonts w:hint="eastAsia" w:ascii="黑体" w:hAnsi="宋体" w:eastAsia="黑体" w:cs="黑体"/>
                <w:i w:val="0"/>
                <w:iCs w:val="0"/>
                <w:strike w:val="0"/>
                <w:dstrike w:val="0"/>
                <w:color w:val="auto"/>
                <w:sz w:val="22"/>
                <w:szCs w:val="22"/>
                <w:u w:val="none"/>
              </w:rPr>
              <w:t xml:space="preserve"> 填报单位（公章）：柳州市水利局                                  填报人及联系电话： 吴明赞 2829550                                      填报日期：2026年8月27日</w:t>
            </w:r>
          </w:p>
        </w:tc>
      </w:tr>
      <w:tr w14:paraId="04C2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trPr>
        <w:tc>
          <w:tcPr>
            <w:tcW w:w="537" w:type="dxa"/>
            <w:vMerge w:val="restart"/>
            <w:tcBorders>
              <w:top w:val="single" w:color="auto" w:sz="4" w:space="0"/>
              <w:bottom w:val="single" w:color="auto" w:sz="4" w:space="0"/>
            </w:tcBorders>
            <w:shd w:val="clear" w:color="auto" w:fill="auto"/>
            <w:tcMar>
              <w:top w:w="10" w:type="dxa"/>
              <w:left w:w="10" w:type="dxa"/>
              <w:right w:w="10" w:type="dxa"/>
            </w:tcMar>
            <w:vAlign w:val="center"/>
          </w:tcPr>
          <w:p w14:paraId="7C5B76B5">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序号</w:t>
            </w:r>
          </w:p>
        </w:tc>
        <w:tc>
          <w:tcPr>
            <w:tcW w:w="6932" w:type="dxa"/>
            <w:gridSpan w:val="6"/>
            <w:tcBorders>
              <w:top w:val="single" w:color="auto" w:sz="4" w:space="0"/>
              <w:bottom w:val="single" w:color="auto" w:sz="4" w:space="0"/>
            </w:tcBorders>
            <w:shd w:val="clear" w:color="auto" w:fill="auto"/>
            <w:tcMar>
              <w:top w:w="10" w:type="dxa"/>
              <w:left w:w="10" w:type="dxa"/>
              <w:right w:w="10" w:type="dxa"/>
            </w:tcMar>
            <w:vAlign w:val="center"/>
          </w:tcPr>
          <w:p w14:paraId="0C5DEAAD">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权力清单</w:t>
            </w:r>
          </w:p>
        </w:tc>
        <w:tc>
          <w:tcPr>
            <w:tcW w:w="23711" w:type="dxa"/>
            <w:gridSpan w:val="5"/>
            <w:tcBorders>
              <w:top w:val="single" w:color="auto" w:sz="4" w:space="0"/>
              <w:bottom w:val="single" w:color="auto" w:sz="4" w:space="0"/>
            </w:tcBorders>
            <w:shd w:val="clear" w:color="auto" w:fill="auto"/>
            <w:tcMar>
              <w:top w:w="10" w:type="dxa"/>
              <w:left w:w="10" w:type="dxa"/>
              <w:right w:w="10" w:type="dxa"/>
            </w:tcMar>
            <w:vAlign w:val="center"/>
          </w:tcPr>
          <w:p w14:paraId="3B950381">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责任清单</w:t>
            </w:r>
          </w:p>
        </w:tc>
        <w:tc>
          <w:tcPr>
            <w:tcW w:w="500" w:type="dxa"/>
            <w:vMerge w:val="restart"/>
            <w:tcBorders>
              <w:top w:val="single" w:color="auto" w:sz="4" w:space="0"/>
              <w:bottom w:val="single" w:color="auto" w:sz="4" w:space="0"/>
            </w:tcBorders>
            <w:shd w:val="clear" w:color="auto" w:fill="auto"/>
            <w:tcMar>
              <w:top w:w="10" w:type="dxa"/>
              <w:left w:w="10" w:type="dxa"/>
              <w:right w:w="10" w:type="dxa"/>
            </w:tcMar>
            <w:vAlign w:val="center"/>
          </w:tcPr>
          <w:p w14:paraId="19C2DA15">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备注</w:t>
            </w:r>
          </w:p>
        </w:tc>
      </w:tr>
      <w:tr w14:paraId="68AE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trPr>
        <w:tc>
          <w:tcPr>
            <w:tcW w:w="537" w:type="dxa"/>
            <w:vMerge w:val="continue"/>
            <w:tcBorders>
              <w:top w:val="single" w:color="auto" w:sz="4" w:space="0"/>
            </w:tcBorders>
            <w:shd w:val="clear" w:color="auto" w:fill="auto"/>
            <w:tcMar>
              <w:top w:w="10" w:type="dxa"/>
              <w:left w:w="10" w:type="dxa"/>
              <w:right w:w="10" w:type="dxa"/>
            </w:tcMar>
            <w:vAlign w:val="center"/>
          </w:tcPr>
          <w:p w14:paraId="7181276D">
            <w:pPr>
              <w:jc w:val="center"/>
              <w:rPr>
                <w:rFonts w:hint="eastAsia" w:ascii="黑体" w:hAnsi="宋体" w:eastAsia="黑体" w:cs="黑体"/>
                <w:i w:val="0"/>
                <w:iCs w:val="0"/>
                <w:strike w:val="0"/>
                <w:dstrike w:val="0"/>
                <w:color w:val="auto"/>
                <w:sz w:val="24"/>
                <w:szCs w:val="24"/>
                <w:u w:val="none"/>
              </w:rPr>
            </w:pPr>
          </w:p>
        </w:tc>
        <w:tc>
          <w:tcPr>
            <w:tcW w:w="775" w:type="dxa"/>
            <w:tcBorders>
              <w:top w:val="single" w:color="auto" w:sz="4" w:space="0"/>
            </w:tcBorders>
            <w:shd w:val="clear" w:color="auto" w:fill="auto"/>
            <w:tcMar>
              <w:top w:w="10" w:type="dxa"/>
              <w:left w:w="10" w:type="dxa"/>
              <w:right w:w="10" w:type="dxa"/>
            </w:tcMar>
            <w:vAlign w:val="center"/>
          </w:tcPr>
          <w:p w14:paraId="4C33C2D9">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权力分类</w:t>
            </w:r>
          </w:p>
        </w:tc>
        <w:tc>
          <w:tcPr>
            <w:tcW w:w="923" w:type="dxa"/>
            <w:tcBorders>
              <w:top w:val="single" w:color="auto" w:sz="4" w:space="0"/>
            </w:tcBorders>
            <w:shd w:val="clear" w:color="auto" w:fill="auto"/>
            <w:tcMar>
              <w:top w:w="10" w:type="dxa"/>
              <w:left w:w="10" w:type="dxa"/>
              <w:right w:w="10" w:type="dxa"/>
            </w:tcMar>
            <w:vAlign w:val="center"/>
          </w:tcPr>
          <w:p w14:paraId="7CBD09B0">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项目名称</w:t>
            </w:r>
          </w:p>
        </w:tc>
        <w:tc>
          <w:tcPr>
            <w:tcW w:w="548" w:type="dxa"/>
            <w:tcBorders>
              <w:top w:val="single" w:color="auto" w:sz="4" w:space="0"/>
            </w:tcBorders>
            <w:shd w:val="clear" w:color="auto" w:fill="auto"/>
            <w:tcMar>
              <w:top w:w="10" w:type="dxa"/>
              <w:left w:w="10" w:type="dxa"/>
              <w:right w:w="10" w:type="dxa"/>
            </w:tcMar>
            <w:vAlign w:val="center"/>
          </w:tcPr>
          <w:p w14:paraId="2ADC57A2">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子项</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名称</w:t>
            </w:r>
          </w:p>
        </w:tc>
        <w:tc>
          <w:tcPr>
            <w:tcW w:w="940" w:type="dxa"/>
            <w:tcBorders>
              <w:top w:val="single" w:color="auto" w:sz="4" w:space="0"/>
            </w:tcBorders>
            <w:shd w:val="clear" w:color="auto" w:fill="auto"/>
            <w:tcMar>
              <w:top w:w="10" w:type="dxa"/>
              <w:left w:w="10" w:type="dxa"/>
              <w:right w:w="10" w:type="dxa"/>
            </w:tcMar>
            <w:vAlign w:val="center"/>
          </w:tcPr>
          <w:p w14:paraId="56813598">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实施主体</w:t>
            </w:r>
          </w:p>
        </w:tc>
        <w:tc>
          <w:tcPr>
            <w:tcW w:w="957" w:type="dxa"/>
            <w:tcBorders>
              <w:top w:val="single" w:color="auto" w:sz="4" w:space="0"/>
            </w:tcBorders>
            <w:shd w:val="clear" w:color="auto" w:fill="auto"/>
            <w:tcMar>
              <w:top w:w="10" w:type="dxa"/>
              <w:left w:w="10" w:type="dxa"/>
              <w:right w:w="10" w:type="dxa"/>
            </w:tcMar>
            <w:vAlign w:val="center"/>
          </w:tcPr>
          <w:p w14:paraId="2ACF5DB3">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承办的</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内设机构</w:t>
            </w:r>
          </w:p>
        </w:tc>
        <w:tc>
          <w:tcPr>
            <w:tcW w:w="2789" w:type="dxa"/>
            <w:tcBorders>
              <w:top w:val="single" w:color="auto" w:sz="4" w:space="0"/>
            </w:tcBorders>
            <w:shd w:val="clear" w:color="auto" w:fill="auto"/>
            <w:tcMar>
              <w:top w:w="10" w:type="dxa"/>
              <w:left w:w="10" w:type="dxa"/>
              <w:right w:w="10" w:type="dxa"/>
            </w:tcMar>
            <w:vAlign w:val="center"/>
          </w:tcPr>
          <w:p w14:paraId="2B8BCBCE">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实施依据</w:t>
            </w:r>
          </w:p>
        </w:tc>
        <w:tc>
          <w:tcPr>
            <w:tcW w:w="4075" w:type="dxa"/>
            <w:tcBorders>
              <w:top w:val="single" w:color="auto" w:sz="4" w:space="0"/>
            </w:tcBorders>
            <w:shd w:val="clear" w:color="auto" w:fill="auto"/>
            <w:tcMar>
              <w:top w:w="10" w:type="dxa"/>
              <w:left w:w="10" w:type="dxa"/>
              <w:right w:w="10" w:type="dxa"/>
            </w:tcMar>
            <w:vAlign w:val="center"/>
          </w:tcPr>
          <w:p w14:paraId="04F035E2">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责任事项</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（明确责任主体）</w:t>
            </w:r>
          </w:p>
        </w:tc>
        <w:tc>
          <w:tcPr>
            <w:tcW w:w="8460" w:type="dxa"/>
            <w:tcBorders>
              <w:top w:val="single" w:color="auto" w:sz="4" w:space="0"/>
            </w:tcBorders>
            <w:shd w:val="clear" w:color="auto" w:fill="auto"/>
            <w:tcMar>
              <w:top w:w="10" w:type="dxa"/>
              <w:left w:w="10" w:type="dxa"/>
              <w:right w:w="10" w:type="dxa"/>
            </w:tcMar>
            <w:vAlign w:val="center"/>
          </w:tcPr>
          <w:p w14:paraId="56CDD5D0">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责任事项依据</w:t>
            </w:r>
          </w:p>
        </w:tc>
        <w:tc>
          <w:tcPr>
            <w:tcW w:w="3286" w:type="dxa"/>
            <w:tcBorders>
              <w:top w:val="single" w:color="auto" w:sz="4" w:space="0"/>
            </w:tcBorders>
            <w:shd w:val="clear" w:color="auto" w:fill="auto"/>
            <w:tcMar>
              <w:top w:w="10" w:type="dxa"/>
              <w:left w:w="10" w:type="dxa"/>
              <w:right w:w="10" w:type="dxa"/>
            </w:tcMar>
            <w:vAlign w:val="center"/>
          </w:tcPr>
          <w:p w14:paraId="50581EE1">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追责情形</w:t>
            </w:r>
            <w:r>
              <w:rPr>
                <w:rFonts w:hint="eastAsia" w:ascii="黑体" w:hAnsi="宋体" w:eastAsia="黑体" w:cs="黑体"/>
                <w:i w:val="0"/>
                <w:iCs w:val="0"/>
                <w:strike w:val="0"/>
                <w:dstrike w:val="0"/>
                <w:color w:val="auto"/>
                <w:sz w:val="24"/>
                <w:szCs w:val="24"/>
                <w:u w:val="none"/>
              </w:rPr>
              <w:br w:type="textWrapping"/>
            </w:r>
            <w:r>
              <w:rPr>
                <w:rFonts w:hint="eastAsia" w:ascii="黑体" w:hAnsi="宋体" w:eastAsia="黑体" w:cs="黑体"/>
                <w:i w:val="0"/>
                <w:iCs w:val="0"/>
                <w:strike w:val="0"/>
                <w:dstrike w:val="0"/>
                <w:color w:val="auto"/>
                <w:sz w:val="24"/>
                <w:szCs w:val="24"/>
                <w:u w:val="none"/>
              </w:rPr>
              <w:t>（明确内部追责主体）</w:t>
            </w:r>
          </w:p>
        </w:tc>
        <w:tc>
          <w:tcPr>
            <w:tcW w:w="7102" w:type="dxa"/>
            <w:tcBorders>
              <w:top w:val="single" w:color="auto" w:sz="4" w:space="0"/>
            </w:tcBorders>
            <w:shd w:val="clear" w:color="auto" w:fill="auto"/>
            <w:tcMar>
              <w:top w:w="10" w:type="dxa"/>
              <w:left w:w="10" w:type="dxa"/>
              <w:right w:w="10" w:type="dxa"/>
            </w:tcMar>
            <w:vAlign w:val="center"/>
          </w:tcPr>
          <w:p w14:paraId="7E8CC7F5">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追责依据</w:t>
            </w:r>
          </w:p>
        </w:tc>
        <w:tc>
          <w:tcPr>
            <w:tcW w:w="950" w:type="dxa"/>
            <w:tcBorders>
              <w:top w:val="single" w:color="auto" w:sz="4" w:space="0"/>
            </w:tcBorders>
            <w:shd w:val="clear" w:color="auto" w:fill="auto"/>
            <w:tcMar>
              <w:top w:w="10" w:type="dxa"/>
              <w:left w:w="10" w:type="dxa"/>
              <w:right w:w="10" w:type="dxa"/>
            </w:tcMar>
            <w:vAlign w:val="center"/>
          </w:tcPr>
          <w:p w14:paraId="1087C052">
            <w:pPr>
              <w:keepNext w:val="0"/>
              <w:keepLines w:val="0"/>
              <w:widowControl/>
              <w:suppressLineNumbers w:val="0"/>
              <w:jc w:val="center"/>
              <w:textAlignment w:val="center"/>
              <w:rPr>
                <w:rFonts w:hint="eastAsia" w:ascii="黑体" w:hAnsi="宋体" w:eastAsia="黑体" w:cs="黑体"/>
                <w:i w:val="0"/>
                <w:iCs w:val="0"/>
                <w:strike w:val="0"/>
                <w:dstrike w:val="0"/>
                <w:color w:val="auto"/>
                <w:sz w:val="24"/>
                <w:szCs w:val="24"/>
                <w:u w:val="none"/>
              </w:rPr>
            </w:pPr>
            <w:r>
              <w:rPr>
                <w:rFonts w:hint="eastAsia" w:ascii="黑体" w:hAnsi="宋体" w:eastAsia="黑体" w:cs="黑体"/>
                <w:i w:val="0"/>
                <w:iCs w:val="0"/>
                <w:strike w:val="0"/>
                <w:dstrike w:val="0"/>
                <w:color w:val="auto"/>
                <w:sz w:val="24"/>
                <w:szCs w:val="24"/>
                <w:u w:val="none"/>
              </w:rPr>
              <w:t>免责事项</w:t>
            </w:r>
          </w:p>
        </w:tc>
        <w:tc>
          <w:tcPr>
            <w:tcW w:w="500" w:type="dxa"/>
            <w:vMerge w:val="continue"/>
            <w:tcBorders>
              <w:top w:val="single" w:color="auto" w:sz="4" w:space="0"/>
            </w:tcBorders>
            <w:shd w:val="clear" w:color="auto" w:fill="auto"/>
            <w:tcMar>
              <w:top w:w="10" w:type="dxa"/>
              <w:left w:w="10" w:type="dxa"/>
              <w:right w:w="10" w:type="dxa"/>
            </w:tcMar>
            <w:vAlign w:val="center"/>
          </w:tcPr>
          <w:p w14:paraId="246DD583">
            <w:pPr>
              <w:jc w:val="center"/>
              <w:rPr>
                <w:rFonts w:hint="eastAsia" w:ascii="黑体" w:hAnsi="宋体" w:eastAsia="黑体" w:cs="黑体"/>
                <w:i w:val="0"/>
                <w:iCs w:val="0"/>
                <w:strike w:val="0"/>
                <w:dstrike w:val="0"/>
                <w:color w:val="auto"/>
                <w:sz w:val="24"/>
                <w:szCs w:val="24"/>
                <w:u w:val="none"/>
              </w:rPr>
            </w:pPr>
          </w:p>
        </w:tc>
      </w:tr>
      <w:tr w14:paraId="221D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80" w:hRule="atLeast"/>
        </w:trPr>
        <w:tc>
          <w:tcPr>
            <w:tcW w:w="537" w:type="dxa"/>
            <w:shd w:val="clear" w:color="auto" w:fill="auto"/>
            <w:tcMar>
              <w:top w:w="10" w:type="dxa"/>
              <w:left w:w="10" w:type="dxa"/>
              <w:right w:w="10" w:type="dxa"/>
            </w:tcMar>
            <w:vAlign w:val="center"/>
          </w:tcPr>
          <w:p w14:paraId="350F0A0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1 </w:t>
            </w:r>
          </w:p>
        </w:tc>
        <w:tc>
          <w:tcPr>
            <w:tcW w:w="775" w:type="dxa"/>
            <w:shd w:val="clear" w:color="auto" w:fill="auto"/>
            <w:tcMar>
              <w:top w:w="10" w:type="dxa"/>
              <w:left w:w="10" w:type="dxa"/>
              <w:right w:w="10" w:type="dxa"/>
            </w:tcMar>
            <w:vAlign w:val="center"/>
          </w:tcPr>
          <w:p w14:paraId="346E5F7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9A94B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对未按照规划治导线整治河道和修建控制引导河水流向、保护堤岸等工程而影响防洪行为的行政处罚</w:t>
            </w:r>
          </w:p>
        </w:tc>
        <w:tc>
          <w:tcPr>
            <w:tcW w:w="548" w:type="dxa"/>
            <w:shd w:val="clear" w:color="auto" w:fill="auto"/>
            <w:tcMar>
              <w:top w:w="10" w:type="dxa"/>
              <w:left w:w="10" w:type="dxa"/>
              <w:right w:w="10" w:type="dxa"/>
            </w:tcMar>
            <w:vAlign w:val="center"/>
          </w:tcPr>
          <w:p w14:paraId="46BA540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B7AF6F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90169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0C123A2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第十九条 整治河道和修建控制引导河水流向、保护堤岸等工程，应当兼顾上下游、左右岸的关系，按照规划治导线实施，不得任意改变河水流向。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国家确定的重要江河的规划治导线由流域管理机构拟定，报国务院水行政主管部门批准。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其他江河、河段的规划治导线由县级以上地方人民政府水行政主管部门拟定，报本级人民政府批准；跨省、自治区、直辖市的江河、河段和省、自治区、直辖市之间的省界河道的规划治导线由有关流域管理机构组织江河、河段所在地的省、自治区、直辖市人民政府水行政主管部门拟定，经有关省、自治区、直辖市人民政府审查提出意见后，报国务院水行政主管部门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违反本法第十九条规定，未按照规划治导线整治河道和修建控制引导河水流向、保护堤岸等工程，影响防洪的，责令停止违法行为，恢复原状或者采取其他补救措施，可以处一万元以上十万元以下的罚款。</w:t>
            </w:r>
          </w:p>
        </w:tc>
        <w:tc>
          <w:tcPr>
            <w:tcW w:w="4075" w:type="dxa"/>
            <w:shd w:val="clear" w:color="auto" w:fill="auto"/>
            <w:tcMar>
              <w:top w:w="10" w:type="dxa"/>
              <w:left w:w="10" w:type="dxa"/>
              <w:right w:w="10" w:type="dxa"/>
            </w:tcMar>
            <w:vAlign w:val="center"/>
          </w:tcPr>
          <w:p w14:paraId="4EFD49B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1D519CB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7E2AC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50CF8B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9BF179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A0D8D28">
            <w:pPr>
              <w:jc w:val="center"/>
              <w:rPr>
                <w:rFonts w:hint="default" w:ascii="仿宋_GB2312" w:hAnsi="宋体" w:eastAsia="仿宋_GB2312" w:cs="仿宋_GB2312"/>
                <w:i w:val="0"/>
                <w:iCs w:val="0"/>
                <w:strike w:val="0"/>
                <w:dstrike w:val="0"/>
                <w:color w:val="auto"/>
                <w:sz w:val="21"/>
                <w:szCs w:val="21"/>
                <w:u w:val="none"/>
              </w:rPr>
            </w:pPr>
          </w:p>
        </w:tc>
      </w:tr>
      <w:tr w14:paraId="0483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BE52EF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2 </w:t>
            </w:r>
          </w:p>
        </w:tc>
        <w:tc>
          <w:tcPr>
            <w:tcW w:w="775" w:type="dxa"/>
            <w:shd w:val="clear" w:color="auto" w:fill="auto"/>
            <w:tcMar>
              <w:top w:w="10" w:type="dxa"/>
              <w:left w:w="10" w:type="dxa"/>
              <w:right w:w="10" w:type="dxa"/>
            </w:tcMar>
            <w:vAlign w:val="center"/>
          </w:tcPr>
          <w:p w14:paraId="25FAB06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DB918E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对未按照经批准的设计，建设相应的防洪治涝设施行为的行政处罚</w:t>
            </w:r>
          </w:p>
        </w:tc>
        <w:tc>
          <w:tcPr>
            <w:tcW w:w="548" w:type="dxa"/>
            <w:shd w:val="clear" w:color="auto" w:fill="auto"/>
            <w:tcMar>
              <w:top w:w="10" w:type="dxa"/>
              <w:left w:w="10" w:type="dxa"/>
              <w:right w:w="10" w:type="dxa"/>
            </w:tcMar>
            <w:vAlign w:val="center"/>
          </w:tcPr>
          <w:p w14:paraId="67CABFE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38D92D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1B2A15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4E93E8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1.【地方性法规】《广西壮族自治区实施&lt;中华人民共和国防洪法&gt;办法》（2004年广西壮族自治区十届人大常委会第11次会议通过，2016年修正）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第十四条 建设与防洪有关的水工程，应当按照经批准的设计，建设相应的防洪治涝设施，保证工程设施的安全运行。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违反本办法第十四条规定，未按照经批准的设计，建设相应的防洪治涝设施的，责令改正；拒不改正的，责令限期拆除，可以处一万元以上十万元以下的罚款。</w:t>
            </w:r>
          </w:p>
        </w:tc>
        <w:tc>
          <w:tcPr>
            <w:tcW w:w="4075" w:type="dxa"/>
            <w:shd w:val="clear" w:color="auto" w:fill="auto"/>
            <w:tcMar>
              <w:top w:w="10" w:type="dxa"/>
              <w:left w:w="10" w:type="dxa"/>
              <w:right w:w="10" w:type="dxa"/>
            </w:tcMar>
            <w:vAlign w:val="center"/>
          </w:tcPr>
          <w:p w14:paraId="42BDBF6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01DAEB2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4ED99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A7424A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72480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B7481ED">
            <w:pPr>
              <w:jc w:val="center"/>
              <w:rPr>
                <w:rFonts w:hint="default" w:ascii="仿宋_GB2312" w:hAnsi="宋体" w:eastAsia="仿宋_GB2312" w:cs="仿宋_GB2312"/>
                <w:i w:val="0"/>
                <w:iCs w:val="0"/>
                <w:strike w:val="0"/>
                <w:dstrike w:val="0"/>
                <w:color w:val="auto"/>
                <w:sz w:val="21"/>
                <w:szCs w:val="21"/>
                <w:u w:val="none"/>
              </w:rPr>
            </w:pPr>
          </w:p>
        </w:tc>
      </w:tr>
      <w:tr w14:paraId="5C35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80" w:hRule="atLeast"/>
        </w:trPr>
        <w:tc>
          <w:tcPr>
            <w:tcW w:w="537" w:type="dxa"/>
            <w:shd w:val="clear" w:color="auto" w:fill="auto"/>
            <w:tcMar>
              <w:top w:w="10" w:type="dxa"/>
              <w:left w:w="10" w:type="dxa"/>
              <w:right w:w="10" w:type="dxa"/>
            </w:tcMar>
            <w:vAlign w:val="center"/>
          </w:tcPr>
          <w:p w14:paraId="752D800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3 </w:t>
            </w:r>
          </w:p>
        </w:tc>
        <w:tc>
          <w:tcPr>
            <w:tcW w:w="775" w:type="dxa"/>
            <w:shd w:val="clear" w:color="auto" w:fill="auto"/>
            <w:tcMar>
              <w:top w:w="10" w:type="dxa"/>
              <w:left w:w="10" w:type="dxa"/>
              <w:right w:w="10" w:type="dxa"/>
            </w:tcMar>
            <w:vAlign w:val="center"/>
          </w:tcPr>
          <w:p w14:paraId="189E500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9F3C6E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对被许可人以欺骗、贿赂等不正当手段取得水行政许可行为的行政处罚</w:t>
            </w:r>
          </w:p>
        </w:tc>
        <w:tc>
          <w:tcPr>
            <w:tcW w:w="548" w:type="dxa"/>
            <w:shd w:val="clear" w:color="auto" w:fill="auto"/>
            <w:tcMar>
              <w:top w:w="10" w:type="dxa"/>
              <w:left w:w="10" w:type="dxa"/>
              <w:right w:w="10" w:type="dxa"/>
            </w:tcMar>
            <w:vAlign w:val="center"/>
          </w:tcPr>
          <w:p w14:paraId="7BDC5C1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9C5CB3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681771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水土保持与水资源科、河长制工作科、工程监督管理科（水旱灾害防御科）、工程建设科农村水利水电科</w:t>
            </w:r>
          </w:p>
        </w:tc>
        <w:tc>
          <w:tcPr>
            <w:tcW w:w="2789" w:type="dxa"/>
            <w:shd w:val="clear" w:color="auto" w:fill="auto"/>
            <w:tcMar>
              <w:top w:w="10" w:type="dxa"/>
              <w:left w:w="10" w:type="dxa"/>
              <w:right w:w="10" w:type="dxa"/>
            </w:tcMar>
            <w:vAlign w:val="center"/>
          </w:tcPr>
          <w:p w14:paraId="2CEAE95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第六十九条第二款 被许可人以欺骗、贿赂等不正当手段取得行政许可的，应当予以撤销。</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第六十九条第三款 依照前两款的规定撤销行政许可，可能对公共利益造成重大损害的，不予撤销。</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2.【部门规章】《水行政许可实施办法》（2005年7月8日水利部发布）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被许可人以欺骗、贿赂等不正当手段取得水行政许可的，除可能对公共利益造成重大损害的，水行政许可实施机关应当予以撤销，并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取得的水行政许可属于直接关系防洪安全、水利工程安全、水生态环境安全、人民群众生命财产安全事项的，申请人在三年内不得再次申请该水行政许可；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3.【部门规章】《勘察设计注册工程师管理规定》（2005年建设部令第137号发布，2016年9月13日住建部令第32号修改）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以欺骗、贿赂等不正当手段取得注册证书的，由负责审批的部门撤销其注册，3年内不得再次申请注册；并由县级以上人民政府住房城乡建设主管部门或者有关部门处以罚款，其中没有违法所得的，处以1万元以下的罚款；有违法所得的，处以违法所得3倍以下且不超过3万元的罚款；构成犯罪的，依法追究刑事责任。</w:t>
            </w:r>
          </w:p>
        </w:tc>
        <w:tc>
          <w:tcPr>
            <w:tcW w:w="4075" w:type="dxa"/>
            <w:shd w:val="clear" w:color="auto" w:fill="auto"/>
            <w:tcMar>
              <w:top w:w="10" w:type="dxa"/>
              <w:left w:w="10" w:type="dxa"/>
              <w:right w:w="10" w:type="dxa"/>
            </w:tcMar>
            <w:vAlign w:val="center"/>
          </w:tcPr>
          <w:p w14:paraId="671B8D1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8.其他法律法规规章文件规定应履行的责任。（水土保持与水资源科、河长制工作科、工程监督管理科（水旱灾害防御科）、工程建设科农村水利水电科）</w:t>
            </w:r>
          </w:p>
        </w:tc>
        <w:tc>
          <w:tcPr>
            <w:tcW w:w="8460" w:type="dxa"/>
            <w:shd w:val="clear" w:color="auto" w:fill="auto"/>
            <w:tcMar>
              <w:top w:w="10" w:type="dxa"/>
              <w:left w:w="10" w:type="dxa"/>
              <w:right w:w="10" w:type="dxa"/>
            </w:tcMar>
            <w:vAlign w:val="center"/>
          </w:tcPr>
          <w:p w14:paraId="1E6480F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49CCA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F8A594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94270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8767C48">
            <w:pPr>
              <w:jc w:val="center"/>
              <w:rPr>
                <w:rFonts w:hint="default" w:ascii="仿宋_GB2312" w:hAnsi="宋体" w:eastAsia="仿宋_GB2312" w:cs="仿宋_GB2312"/>
                <w:i w:val="0"/>
                <w:iCs w:val="0"/>
                <w:strike w:val="0"/>
                <w:dstrike w:val="0"/>
                <w:color w:val="auto"/>
                <w:sz w:val="21"/>
                <w:szCs w:val="21"/>
                <w:u w:val="none"/>
              </w:rPr>
            </w:pPr>
          </w:p>
        </w:tc>
      </w:tr>
      <w:tr w14:paraId="043A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052DD5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4 </w:t>
            </w:r>
          </w:p>
        </w:tc>
        <w:tc>
          <w:tcPr>
            <w:tcW w:w="775" w:type="dxa"/>
            <w:shd w:val="clear" w:color="auto" w:fill="auto"/>
            <w:tcMar>
              <w:top w:w="10" w:type="dxa"/>
              <w:left w:w="10" w:type="dxa"/>
              <w:right w:w="10" w:type="dxa"/>
            </w:tcMar>
            <w:vAlign w:val="center"/>
          </w:tcPr>
          <w:p w14:paraId="71CA3D0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28B75F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对水行政许可申请人隐瞒有关情况或者提供虚假材料申请水行政许可行为的行政处罚</w:t>
            </w:r>
          </w:p>
        </w:tc>
        <w:tc>
          <w:tcPr>
            <w:tcW w:w="548" w:type="dxa"/>
            <w:shd w:val="clear" w:color="auto" w:fill="auto"/>
            <w:tcMar>
              <w:top w:w="10" w:type="dxa"/>
              <w:left w:w="10" w:type="dxa"/>
              <w:right w:w="10" w:type="dxa"/>
            </w:tcMar>
            <w:vAlign w:val="center"/>
          </w:tcPr>
          <w:p w14:paraId="163CA09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F6AE8E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2F2E5D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水土保持与水资源科、河长制工作科、工程监督管理科（水旱灾害防御科）、工程建设科农村水利水电科</w:t>
            </w:r>
          </w:p>
        </w:tc>
        <w:tc>
          <w:tcPr>
            <w:tcW w:w="2789" w:type="dxa"/>
            <w:shd w:val="clear" w:color="auto" w:fill="auto"/>
            <w:tcMar>
              <w:top w:w="10" w:type="dxa"/>
              <w:left w:w="10" w:type="dxa"/>
              <w:right w:w="10" w:type="dxa"/>
            </w:tcMar>
            <w:vAlign w:val="center"/>
          </w:tcPr>
          <w:p w14:paraId="742378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第七十八条 行政许可申请人隐瞒有关情况或者提供虚假材料申请行政许可的，行政机关不予受理或者不予行政许可，并给予警告；行政许可申请属于直接关系公共安全、人身健康、生命财产安全事项的，申请人在一年内不得再次申请该行政许可。</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2.【部门规章】《水行政许可实施办法》（2005年7月8日水利部发布）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水行政许可申请人隐瞒有关情况或者提供虚假材料申请水行政许可的，水行政许可实施机关应当不予受理或者不予水行政许可，并给予警告；水行政许可申请属于直接关系防洪安全、水利工程安全、水生态环境安全、人民群众生命财产安全事项的，申请人在一年内不得再次申请该水行政许可。</w:t>
            </w:r>
          </w:p>
        </w:tc>
        <w:tc>
          <w:tcPr>
            <w:tcW w:w="4075" w:type="dxa"/>
            <w:shd w:val="clear" w:color="auto" w:fill="auto"/>
            <w:tcMar>
              <w:top w:w="10" w:type="dxa"/>
              <w:left w:w="10" w:type="dxa"/>
              <w:right w:w="10" w:type="dxa"/>
            </w:tcMar>
            <w:vAlign w:val="center"/>
          </w:tcPr>
          <w:p w14:paraId="261CD9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8.其他法律法规规章文件规定应履行的责任。（水土保持与水资源科、河长制工作科、工程监督管理科（水旱灾害防御科）、工程建设科农村水利水电科）</w:t>
            </w:r>
          </w:p>
        </w:tc>
        <w:tc>
          <w:tcPr>
            <w:tcW w:w="8460" w:type="dxa"/>
            <w:shd w:val="clear" w:color="auto" w:fill="auto"/>
            <w:tcMar>
              <w:top w:w="10" w:type="dxa"/>
              <w:left w:w="10" w:type="dxa"/>
              <w:right w:w="10" w:type="dxa"/>
            </w:tcMar>
            <w:vAlign w:val="center"/>
          </w:tcPr>
          <w:p w14:paraId="4D67F9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31796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8E4133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37C129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CCFDAA6">
            <w:pPr>
              <w:jc w:val="center"/>
              <w:rPr>
                <w:rFonts w:hint="default" w:ascii="仿宋_GB2312" w:hAnsi="宋体" w:eastAsia="仿宋_GB2312" w:cs="仿宋_GB2312"/>
                <w:i w:val="0"/>
                <w:iCs w:val="0"/>
                <w:strike w:val="0"/>
                <w:dstrike w:val="0"/>
                <w:color w:val="auto"/>
                <w:sz w:val="21"/>
                <w:szCs w:val="21"/>
                <w:u w:val="none"/>
              </w:rPr>
            </w:pPr>
          </w:p>
        </w:tc>
      </w:tr>
      <w:tr w14:paraId="79D2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88B31A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5 </w:t>
            </w:r>
          </w:p>
        </w:tc>
        <w:tc>
          <w:tcPr>
            <w:tcW w:w="775" w:type="dxa"/>
            <w:shd w:val="clear" w:color="auto" w:fill="auto"/>
            <w:tcMar>
              <w:top w:w="10" w:type="dxa"/>
              <w:left w:w="10" w:type="dxa"/>
              <w:right w:w="10" w:type="dxa"/>
            </w:tcMar>
            <w:vAlign w:val="center"/>
          </w:tcPr>
          <w:p w14:paraId="031BDD5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298B4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对被许可人涂改、倒卖、出租、出借水行政许可证件，或者以其他形式非法转让水行政许可等行为的行政处罚</w:t>
            </w:r>
          </w:p>
        </w:tc>
        <w:tc>
          <w:tcPr>
            <w:tcW w:w="548" w:type="dxa"/>
            <w:shd w:val="clear" w:color="auto" w:fill="auto"/>
            <w:tcMar>
              <w:top w:w="10" w:type="dxa"/>
              <w:left w:w="10" w:type="dxa"/>
              <w:right w:w="10" w:type="dxa"/>
            </w:tcMar>
            <w:vAlign w:val="center"/>
          </w:tcPr>
          <w:p w14:paraId="2F7D2F9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08933C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19AA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水土保持与水资源科、河长制工作科、工程监督管理科（水旱灾害防御科）、工程建设科农村水利水电科</w:t>
            </w:r>
          </w:p>
        </w:tc>
        <w:tc>
          <w:tcPr>
            <w:tcW w:w="2789" w:type="dxa"/>
            <w:shd w:val="clear" w:color="auto" w:fill="auto"/>
            <w:tcMar>
              <w:top w:w="10" w:type="dxa"/>
              <w:left w:w="10" w:type="dxa"/>
              <w:right w:w="10" w:type="dxa"/>
            </w:tcMar>
            <w:vAlign w:val="center"/>
          </w:tcPr>
          <w:p w14:paraId="140414D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第八十条 被许可人有下列行为之一的，行政机关应当依法给予行政处罚；构成犯罪的，依法追究刑事责任：（一）涂改、倒卖、出租、出借行政许可证件，或者以其他形式非法转让行政许可的；（二）超越行政许可范围进行活动的；（三）向负责监督检查的行政机关隐瞒有关情况、提供虚假材料或者拒绝提供反映其活动情况的真实材料的；（四）法律、法规、规章规定的其他违法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2.【部门规章】《水行政许可实施办法》（2005年7月8日水利部发布）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被许可人有《行政许可法》第八十条规定的行为之一的，水行政许可实施机关根据情节轻重，应当给予警告或者降低水行政许可资格（质）等级。被许可人从事非经营活动的，可以处一千元以下罚款；被许可人从事经营活动，有违法所得的，可以处违法所得三倍以下罚款，但是最高不得超过三万元，没有违法所得的，可以处一万元以下罚款，法律、法规另有规定的除外；构成犯罪的，依法追究刑事责任。</w:t>
            </w:r>
          </w:p>
        </w:tc>
        <w:tc>
          <w:tcPr>
            <w:tcW w:w="4075" w:type="dxa"/>
            <w:shd w:val="clear" w:color="auto" w:fill="auto"/>
            <w:tcMar>
              <w:top w:w="10" w:type="dxa"/>
              <w:left w:w="10" w:type="dxa"/>
              <w:right w:w="10" w:type="dxa"/>
            </w:tcMar>
            <w:vAlign w:val="center"/>
          </w:tcPr>
          <w:p w14:paraId="4B7C28E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8.其他法律法规规章文件规定应履行的责任。（水土保持与水资源科、河长制工作科、工程监督管理科（水旱灾害防御科）、工程建设科农村水利水电科）</w:t>
            </w:r>
          </w:p>
        </w:tc>
        <w:tc>
          <w:tcPr>
            <w:tcW w:w="8460" w:type="dxa"/>
            <w:shd w:val="clear" w:color="auto" w:fill="auto"/>
            <w:tcMar>
              <w:top w:w="10" w:type="dxa"/>
              <w:left w:w="10" w:type="dxa"/>
              <w:right w:w="10" w:type="dxa"/>
            </w:tcMar>
            <w:vAlign w:val="center"/>
          </w:tcPr>
          <w:p w14:paraId="6626293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E70B4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25A70E7">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99569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AE4CE05">
            <w:pPr>
              <w:jc w:val="center"/>
              <w:rPr>
                <w:rFonts w:hint="default" w:ascii="仿宋_GB2312" w:hAnsi="宋体" w:eastAsia="仿宋_GB2312" w:cs="仿宋_GB2312"/>
                <w:i w:val="0"/>
                <w:iCs w:val="0"/>
                <w:strike w:val="0"/>
                <w:dstrike w:val="0"/>
                <w:color w:val="auto"/>
                <w:sz w:val="21"/>
                <w:szCs w:val="21"/>
                <w:u w:val="none"/>
              </w:rPr>
            </w:pPr>
          </w:p>
        </w:tc>
      </w:tr>
      <w:tr w14:paraId="460F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0" w:hRule="atLeast"/>
        </w:trPr>
        <w:tc>
          <w:tcPr>
            <w:tcW w:w="537" w:type="dxa"/>
            <w:shd w:val="clear" w:color="auto" w:fill="auto"/>
            <w:tcMar>
              <w:top w:w="10" w:type="dxa"/>
              <w:left w:w="10" w:type="dxa"/>
              <w:right w:w="10" w:type="dxa"/>
            </w:tcMar>
            <w:vAlign w:val="center"/>
          </w:tcPr>
          <w:p w14:paraId="7864480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6 </w:t>
            </w:r>
          </w:p>
        </w:tc>
        <w:tc>
          <w:tcPr>
            <w:tcW w:w="775" w:type="dxa"/>
            <w:shd w:val="clear" w:color="auto" w:fill="auto"/>
            <w:tcMar>
              <w:top w:w="10" w:type="dxa"/>
              <w:left w:w="10" w:type="dxa"/>
              <w:right w:w="10" w:type="dxa"/>
            </w:tcMar>
            <w:vAlign w:val="center"/>
          </w:tcPr>
          <w:p w14:paraId="22C89E0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6B5B05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对未经水行政许可擅自从事依法应取得水行政许可的活动行为的行政处罚</w:t>
            </w:r>
          </w:p>
        </w:tc>
        <w:tc>
          <w:tcPr>
            <w:tcW w:w="548" w:type="dxa"/>
            <w:shd w:val="clear" w:color="auto" w:fill="auto"/>
            <w:tcMar>
              <w:top w:w="10" w:type="dxa"/>
              <w:left w:w="10" w:type="dxa"/>
              <w:right w:w="10" w:type="dxa"/>
            </w:tcMar>
            <w:vAlign w:val="center"/>
          </w:tcPr>
          <w:p w14:paraId="0B76A40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AEA518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B48461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水土保持与水资源科、河长制工作科、工程监督管理科（水旱灾害防御科）、工程建设科农村水利水电科</w:t>
            </w:r>
          </w:p>
        </w:tc>
        <w:tc>
          <w:tcPr>
            <w:tcW w:w="2789" w:type="dxa"/>
            <w:shd w:val="clear" w:color="auto" w:fill="auto"/>
            <w:tcMar>
              <w:top w:w="10" w:type="dxa"/>
              <w:left w:w="10" w:type="dxa"/>
              <w:right w:w="10" w:type="dxa"/>
            </w:tcMar>
            <w:vAlign w:val="center"/>
          </w:tcPr>
          <w:p w14:paraId="0CEF375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1.【部门规章】《水行政许可实施办法》（2005年7月8日水利部发布）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公民、法人或者其他组织未经水行政许可，擅自从事依法应当取得水行政许可的活动的，水行政许可实施机关应当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构成犯罪的，依法追究刑事责任。</w:t>
            </w:r>
          </w:p>
        </w:tc>
        <w:tc>
          <w:tcPr>
            <w:tcW w:w="4075" w:type="dxa"/>
            <w:shd w:val="clear" w:color="auto" w:fill="auto"/>
            <w:tcMar>
              <w:top w:w="10" w:type="dxa"/>
              <w:left w:w="10" w:type="dxa"/>
              <w:right w:w="10" w:type="dxa"/>
            </w:tcMar>
            <w:vAlign w:val="center"/>
          </w:tcPr>
          <w:p w14:paraId="39F5E0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7.执行阶段责任：依照生效的行政处罚决定，监督改正或吊销许可证。（水土保持与水资源科、河长制工作科、工程监督管理科（水旱灾害防御科）、工程建设科农村水利水电科）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8.其他法律法规规章文件规定应履行的责任。（水土保持与水资源科、河长制工作科、工程监督管理科（水旱灾害防御科）、工程建设科农村水利水电科）</w:t>
            </w:r>
          </w:p>
        </w:tc>
        <w:tc>
          <w:tcPr>
            <w:tcW w:w="8460" w:type="dxa"/>
            <w:shd w:val="clear" w:color="auto" w:fill="auto"/>
            <w:tcMar>
              <w:top w:w="10" w:type="dxa"/>
              <w:left w:w="10" w:type="dxa"/>
              <w:right w:w="10" w:type="dxa"/>
            </w:tcMar>
            <w:vAlign w:val="center"/>
          </w:tcPr>
          <w:p w14:paraId="45D2DC7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3E8E36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44885C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D5FBA8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FF83355">
            <w:pPr>
              <w:jc w:val="center"/>
              <w:rPr>
                <w:rFonts w:hint="default" w:ascii="仿宋_GB2312" w:hAnsi="宋体" w:eastAsia="仿宋_GB2312" w:cs="仿宋_GB2312"/>
                <w:i w:val="0"/>
                <w:iCs w:val="0"/>
                <w:strike w:val="0"/>
                <w:dstrike w:val="0"/>
                <w:color w:val="auto"/>
                <w:sz w:val="21"/>
                <w:szCs w:val="21"/>
                <w:u w:val="none"/>
              </w:rPr>
            </w:pPr>
          </w:p>
        </w:tc>
      </w:tr>
      <w:tr w14:paraId="31EE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2B1D2A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7 </w:t>
            </w:r>
          </w:p>
        </w:tc>
        <w:tc>
          <w:tcPr>
            <w:tcW w:w="775" w:type="dxa"/>
            <w:shd w:val="clear" w:color="auto" w:fill="auto"/>
            <w:tcMar>
              <w:top w:w="10" w:type="dxa"/>
              <w:left w:w="10" w:type="dxa"/>
              <w:right w:w="10" w:type="dxa"/>
            </w:tcMar>
            <w:vAlign w:val="center"/>
          </w:tcPr>
          <w:p w14:paraId="556D805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CA745D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对未经批准擅自取水、未依照批准的取水许可规定条件取水行为的行政处罚</w:t>
            </w:r>
          </w:p>
        </w:tc>
        <w:tc>
          <w:tcPr>
            <w:tcW w:w="548" w:type="dxa"/>
            <w:shd w:val="clear" w:color="auto" w:fill="auto"/>
            <w:tcMar>
              <w:top w:w="10" w:type="dxa"/>
              <w:left w:w="10" w:type="dxa"/>
              <w:right w:w="10" w:type="dxa"/>
            </w:tcMar>
            <w:vAlign w:val="center"/>
          </w:tcPr>
          <w:p w14:paraId="7D82257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579FAB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EFB9E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7E42A57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1.【法律】《中华人民共和国水法》</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第六十九条 有下列行为之一的，由县级以上人民政府水行政主管部门或者流域管理机构依据职权，责令停止违法行为，限期采取补救措施，处二万元以上十万元以下的罚款；情节严重的，吊销其取水许可证：（一）未经批准擅自取水的；（二）未依照批准的取水许可规定条件取水的。</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2.【行政法规】《地下水管理条例》（2021年国务院令第748号公布）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第五十五条 违反本条例规定，未经批准擅自取用地下水，或者利用渗井、渗坑、裂隙、溶洞以及私设暗管等逃避监管的方式排放水污染物等违法行为，依照《中华人民共和国水法》、《中华人民共和国水污染防治法》、《中华人民共和国土壤污染防治法》、《取水许可和水资源费征收管理条例》等法律、行政法规的规定处罚。</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3.【行政法规】《取水许可和水资源费征收管理条例》（2006年国务院令第460号发布，2017年国务院令第676号修订）</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第四十八条 未经批准擅自取水，或者未依照批准的取水许可规定条件取水的，依照《中华人民共和国水法》第六十九条规定处罚；给他人造成妨碍或者损失的，应当排除妨碍、赔偿损失。</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4.【地方性法规】《广西壮族自治区实施（中华人民共和国水法〉办法》（1992年自治区第七届人民代表大会常务委员会第二十九次会议通过，2021年第四次修正）</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第三十三条 违反本办法规定，有下列行为之一的，依照水法第六十九条规定，由县级以上人民政府水行政主管部门或者流域管理机构依照职权，责令停止违法行为，限期采取补救措施，处二万元以上十万元以下的罚款；情节严重的，吊销其取水许可证：（一）在地下水禁止开采区开采地下水的；（二）未经县级以上人民政府水行政主管部门批准，在限制开采区开采地下水或者启用作为应急供水水源的地下水的；（三）未申请下年度取水计划而继续取水的。</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01C4FC9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050791C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CD4C7B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DABE45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29983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664B64C">
            <w:pPr>
              <w:jc w:val="center"/>
              <w:rPr>
                <w:rFonts w:hint="default" w:ascii="仿宋_GB2312" w:hAnsi="宋体" w:eastAsia="仿宋_GB2312" w:cs="仿宋_GB2312"/>
                <w:i w:val="0"/>
                <w:iCs w:val="0"/>
                <w:strike w:val="0"/>
                <w:dstrike w:val="0"/>
                <w:color w:val="auto"/>
                <w:sz w:val="21"/>
                <w:szCs w:val="21"/>
                <w:u w:val="none"/>
              </w:rPr>
            </w:pPr>
          </w:p>
        </w:tc>
      </w:tr>
      <w:tr w14:paraId="7087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D66355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8 </w:t>
            </w:r>
          </w:p>
        </w:tc>
        <w:tc>
          <w:tcPr>
            <w:tcW w:w="775" w:type="dxa"/>
            <w:shd w:val="clear" w:color="auto" w:fill="auto"/>
            <w:tcMar>
              <w:top w:w="10" w:type="dxa"/>
              <w:left w:w="10" w:type="dxa"/>
              <w:right w:w="10" w:type="dxa"/>
            </w:tcMar>
            <w:vAlign w:val="center"/>
          </w:tcPr>
          <w:p w14:paraId="133995A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8C7F4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对未取得取水申请批准文件擅自建设取水工程或者设施行为的行政处罚</w:t>
            </w:r>
          </w:p>
        </w:tc>
        <w:tc>
          <w:tcPr>
            <w:tcW w:w="548" w:type="dxa"/>
            <w:shd w:val="clear" w:color="auto" w:fill="auto"/>
            <w:tcMar>
              <w:top w:w="10" w:type="dxa"/>
              <w:left w:w="10" w:type="dxa"/>
              <w:right w:w="10" w:type="dxa"/>
            </w:tcMar>
            <w:vAlign w:val="center"/>
          </w:tcPr>
          <w:p w14:paraId="274F99F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B02FEC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1BE308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0A4CB04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5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本条例规定的行政处罚，由县级以上人民政府水行政主管部门或者流域管理机构按照规定的权限决定。</w:t>
            </w:r>
          </w:p>
        </w:tc>
        <w:tc>
          <w:tcPr>
            <w:tcW w:w="4075" w:type="dxa"/>
            <w:shd w:val="clear" w:color="auto" w:fill="auto"/>
            <w:tcMar>
              <w:top w:w="10" w:type="dxa"/>
              <w:left w:w="10" w:type="dxa"/>
              <w:right w:w="10" w:type="dxa"/>
            </w:tcMar>
            <w:vAlign w:val="center"/>
          </w:tcPr>
          <w:p w14:paraId="2F361A7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2BC4802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488C8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CBD8E0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90A6EA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2C20975">
            <w:pPr>
              <w:jc w:val="center"/>
              <w:rPr>
                <w:rFonts w:hint="default" w:ascii="仿宋_GB2312" w:hAnsi="宋体" w:eastAsia="仿宋_GB2312" w:cs="仿宋_GB2312"/>
                <w:i w:val="0"/>
                <w:iCs w:val="0"/>
                <w:strike w:val="0"/>
                <w:dstrike w:val="0"/>
                <w:color w:val="auto"/>
                <w:sz w:val="21"/>
                <w:szCs w:val="21"/>
                <w:u w:val="none"/>
              </w:rPr>
            </w:pPr>
          </w:p>
        </w:tc>
      </w:tr>
      <w:tr w14:paraId="383C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726C9F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9 </w:t>
            </w:r>
          </w:p>
        </w:tc>
        <w:tc>
          <w:tcPr>
            <w:tcW w:w="775" w:type="dxa"/>
            <w:shd w:val="clear" w:color="auto" w:fill="auto"/>
            <w:tcMar>
              <w:top w:w="10" w:type="dxa"/>
              <w:left w:w="10" w:type="dxa"/>
              <w:right w:w="10" w:type="dxa"/>
            </w:tcMar>
            <w:vAlign w:val="center"/>
          </w:tcPr>
          <w:p w14:paraId="42F84D7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632319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对拒不执行审批机关作出的取水量限制决定或者未经批准擅自转让取水权行为的行政处罚</w:t>
            </w:r>
          </w:p>
        </w:tc>
        <w:tc>
          <w:tcPr>
            <w:tcW w:w="548" w:type="dxa"/>
            <w:shd w:val="clear" w:color="auto" w:fill="auto"/>
            <w:tcMar>
              <w:top w:w="10" w:type="dxa"/>
              <w:left w:w="10" w:type="dxa"/>
              <w:right w:w="10" w:type="dxa"/>
            </w:tcMar>
            <w:vAlign w:val="center"/>
          </w:tcPr>
          <w:p w14:paraId="4ED4AF9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8CB6D8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D9536E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7AF695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第五十一条 拒不执行审批机关作出的取水量限制决定，或者未经批准擅自转让取水权的，责令停止违法行为，限期改正，处2万元以上10万元以下罚款；逾期拒不改正或者情节严重的，吊销取水许可证。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本条例规定的行政处罚，由县级以上人民政府水行政主管部门或者流域管理机构按照规定的权限决定。</w:t>
            </w:r>
          </w:p>
        </w:tc>
        <w:tc>
          <w:tcPr>
            <w:tcW w:w="4075" w:type="dxa"/>
            <w:shd w:val="clear" w:color="auto" w:fill="auto"/>
            <w:tcMar>
              <w:top w:w="10" w:type="dxa"/>
              <w:left w:w="10" w:type="dxa"/>
              <w:right w:w="10" w:type="dxa"/>
            </w:tcMar>
            <w:vAlign w:val="center"/>
          </w:tcPr>
          <w:p w14:paraId="0953BB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75CE7B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02AD3A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320AE0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6A4A25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D53ECA4">
            <w:pPr>
              <w:jc w:val="center"/>
              <w:rPr>
                <w:rFonts w:hint="default" w:ascii="仿宋_GB2312" w:hAnsi="宋体" w:eastAsia="仿宋_GB2312" w:cs="仿宋_GB2312"/>
                <w:i w:val="0"/>
                <w:iCs w:val="0"/>
                <w:strike w:val="0"/>
                <w:dstrike w:val="0"/>
                <w:color w:val="auto"/>
                <w:sz w:val="21"/>
                <w:szCs w:val="21"/>
                <w:u w:val="none"/>
              </w:rPr>
            </w:pPr>
          </w:p>
        </w:tc>
      </w:tr>
      <w:tr w14:paraId="41E5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2131C4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10 </w:t>
            </w:r>
          </w:p>
        </w:tc>
        <w:tc>
          <w:tcPr>
            <w:tcW w:w="775" w:type="dxa"/>
            <w:shd w:val="clear" w:color="auto" w:fill="auto"/>
            <w:tcMar>
              <w:top w:w="10" w:type="dxa"/>
              <w:left w:w="10" w:type="dxa"/>
              <w:right w:w="10" w:type="dxa"/>
            </w:tcMar>
            <w:vAlign w:val="center"/>
          </w:tcPr>
          <w:p w14:paraId="58BC629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57EC5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对不按照规定报送年度取水情况、拒绝接受监督检查或者弄虚作假、退水水质达不到规定要求行为的行政处罚</w:t>
            </w:r>
          </w:p>
        </w:tc>
        <w:tc>
          <w:tcPr>
            <w:tcW w:w="548" w:type="dxa"/>
            <w:shd w:val="clear" w:color="auto" w:fill="auto"/>
            <w:tcMar>
              <w:top w:w="10" w:type="dxa"/>
              <w:left w:w="10" w:type="dxa"/>
              <w:right w:w="10" w:type="dxa"/>
            </w:tcMar>
            <w:vAlign w:val="center"/>
          </w:tcPr>
          <w:p w14:paraId="462425A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5C5695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7DE8ED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26F58F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第五十二条 有下列行为之一的，责令停止违法行为，限期改正，处5000元以上2万元以下罚款；情节严重的，吊销取水许可证：（一）不按照规定报送年度取水情况的；（二）拒绝接受监督检查或者弄虚作假的；（三）退水水质达不到规定要求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本条例规定的行政处罚，由县级以上人民政府水行政主管部门或者流域管理机构按照规定的权限决定。</w:t>
            </w:r>
          </w:p>
        </w:tc>
        <w:tc>
          <w:tcPr>
            <w:tcW w:w="4075" w:type="dxa"/>
            <w:shd w:val="clear" w:color="auto" w:fill="auto"/>
            <w:tcMar>
              <w:top w:w="10" w:type="dxa"/>
              <w:left w:w="10" w:type="dxa"/>
              <w:right w:w="10" w:type="dxa"/>
            </w:tcMar>
            <w:vAlign w:val="center"/>
          </w:tcPr>
          <w:p w14:paraId="048C896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0183921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9640F1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F9CEDE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09679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8C8A7A3">
            <w:pPr>
              <w:jc w:val="center"/>
              <w:rPr>
                <w:rFonts w:hint="default" w:ascii="仿宋_GB2312" w:hAnsi="宋体" w:eastAsia="仿宋_GB2312" w:cs="仿宋_GB2312"/>
                <w:i w:val="0"/>
                <w:iCs w:val="0"/>
                <w:strike w:val="0"/>
                <w:dstrike w:val="0"/>
                <w:color w:val="auto"/>
                <w:sz w:val="21"/>
                <w:szCs w:val="21"/>
                <w:u w:val="none"/>
              </w:rPr>
            </w:pPr>
          </w:p>
        </w:tc>
      </w:tr>
      <w:tr w14:paraId="11F9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FEE772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11 </w:t>
            </w:r>
          </w:p>
        </w:tc>
        <w:tc>
          <w:tcPr>
            <w:tcW w:w="775" w:type="dxa"/>
            <w:shd w:val="clear" w:color="auto" w:fill="auto"/>
            <w:tcMar>
              <w:top w:w="10" w:type="dxa"/>
              <w:left w:w="10" w:type="dxa"/>
              <w:right w:w="10" w:type="dxa"/>
            </w:tcMar>
            <w:vAlign w:val="center"/>
          </w:tcPr>
          <w:p w14:paraId="05D40ED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04794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对未安装计量设施，计量设施不合格或者运行不正常行为的行政处罚</w:t>
            </w:r>
          </w:p>
        </w:tc>
        <w:tc>
          <w:tcPr>
            <w:tcW w:w="548" w:type="dxa"/>
            <w:shd w:val="clear" w:color="auto" w:fill="auto"/>
            <w:tcMar>
              <w:top w:w="10" w:type="dxa"/>
              <w:left w:w="10" w:type="dxa"/>
              <w:right w:w="10" w:type="dxa"/>
            </w:tcMar>
            <w:vAlign w:val="center"/>
          </w:tcPr>
          <w:p w14:paraId="06B1674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F749DB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C260F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5A20322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 未安装计量设施的，责令限期安装，并按照日最大取水能力计算的取水量和水资源费征收标准计征水资源费，处5000元以上2万元以下罚款；情节严重的，吊销取水许可证。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计量设施不合格或者运行不正常的，责令限期更换或者修复；逾期不更换或者不修复的，按照日最大取水能力计算的取水量和水资源费征收标准计征水资源费，可以处1万元以下罚款；情节严重的，吊销取水许可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本条例规定的行政处罚，由县级以上人民政府水行政主管部门或者流域管理机构按照规定的权限决定。</w:t>
            </w:r>
          </w:p>
        </w:tc>
        <w:tc>
          <w:tcPr>
            <w:tcW w:w="4075" w:type="dxa"/>
            <w:shd w:val="clear" w:color="auto" w:fill="auto"/>
            <w:tcMar>
              <w:top w:w="10" w:type="dxa"/>
              <w:left w:w="10" w:type="dxa"/>
              <w:right w:w="10" w:type="dxa"/>
            </w:tcMar>
            <w:vAlign w:val="center"/>
          </w:tcPr>
          <w:p w14:paraId="4CDCEC7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73B851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4DDC2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CF820D7">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492633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D52B1E8">
            <w:pPr>
              <w:jc w:val="center"/>
              <w:rPr>
                <w:rFonts w:hint="default" w:ascii="仿宋_GB2312" w:hAnsi="宋体" w:eastAsia="仿宋_GB2312" w:cs="仿宋_GB2312"/>
                <w:i w:val="0"/>
                <w:iCs w:val="0"/>
                <w:strike w:val="0"/>
                <w:dstrike w:val="0"/>
                <w:color w:val="auto"/>
                <w:sz w:val="21"/>
                <w:szCs w:val="21"/>
                <w:u w:val="none"/>
              </w:rPr>
            </w:pPr>
          </w:p>
        </w:tc>
      </w:tr>
      <w:tr w14:paraId="75FA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3C1F6A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12 </w:t>
            </w:r>
          </w:p>
        </w:tc>
        <w:tc>
          <w:tcPr>
            <w:tcW w:w="775" w:type="dxa"/>
            <w:shd w:val="clear" w:color="auto" w:fill="auto"/>
            <w:tcMar>
              <w:top w:w="10" w:type="dxa"/>
              <w:left w:w="10" w:type="dxa"/>
              <w:right w:w="10" w:type="dxa"/>
            </w:tcMar>
            <w:vAlign w:val="center"/>
          </w:tcPr>
          <w:p w14:paraId="06AA221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2448E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对伪造、涂改、冒用取水申请批准文件、取水许可证行为的行政处罚</w:t>
            </w:r>
          </w:p>
        </w:tc>
        <w:tc>
          <w:tcPr>
            <w:tcW w:w="548" w:type="dxa"/>
            <w:shd w:val="clear" w:color="auto" w:fill="auto"/>
            <w:tcMar>
              <w:top w:w="10" w:type="dxa"/>
              <w:left w:w="10" w:type="dxa"/>
              <w:right w:w="10" w:type="dxa"/>
            </w:tcMar>
            <w:vAlign w:val="center"/>
          </w:tcPr>
          <w:p w14:paraId="031C5BA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3E5B67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3F095A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36DF63F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伪造、涂改、冒用取水申请批准文件、取水许可证的，责令改正，没收违法所得和非法财物，并处2万元以上10万元以下罚款；构成犯罪的，依法追究刑事责任。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本条例规定的行政处罚，由县级以上人民政府水行政主管部门或者流域管理机构按照规定的权限决定。</w:t>
            </w:r>
          </w:p>
        </w:tc>
        <w:tc>
          <w:tcPr>
            <w:tcW w:w="4075" w:type="dxa"/>
            <w:shd w:val="clear" w:color="auto" w:fill="auto"/>
            <w:tcMar>
              <w:top w:w="10" w:type="dxa"/>
              <w:left w:w="10" w:type="dxa"/>
              <w:right w:w="10" w:type="dxa"/>
            </w:tcMar>
            <w:vAlign w:val="center"/>
          </w:tcPr>
          <w:p w14:paraId="3E89C61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7583FB7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98016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2DCACA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DDA6E5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B8E3566">
            <w:pPr>
              <w:jc w:val="center"/>
              <w:rPr>
                <w:rFonts w:hint="default" w:ascii="仿宋_GB2312" w:hAnsi="宋体" w:eastAsia="仿宋_GB2312" w:cs="仿宋_GB2312"/>
                <w:i w:val="0"/>
                <w:iCs w:val="0"/>
                <w:strike w:val="0"/>
                <w:dstrike w:val="0"/>
                <w:color w:val="auto"/>
                <w:sz w:val="21"/>
                <w:szCs w:val="21"/>
                <w:u w:val="none"/>
              </w:rPr>
            </w:pPr>
          </w:p>
        </w:tc>
      </w:tr>
      <w:tr w14:paraId="07BC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807" w:hRule="atLeast"/>
        </w:trPr>
        <w:tc>
          <w:tcPr>
            <w:tcW w:w="537" w:type="dxa"/>
            <w:shd w:val="clear" w:color="auto" w:fill="auto"/>
            <w:tcMar>
              <w:top w:w="10" w:type="dxa"/>
              <w:left w:w="10" w:type="dxa"/>
              <w:right w:w="10" w:type="dxa"/>
            </w:tcMar>
            <w:vAlign w:val="center"/>
          </w:tcPr>
          <w:p w14:paraId="785EECD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13 </w:t>
            </w:r>
          </w:p>
        </w:tc>
        <w:tc>
          <w:tcPr>
            <w:tcW w:w="775" w:type="dxa"/>
            <w:shd w:val="clear" w:color="auto" w:fill="auto"/>
            <w:tcMar>
              <w:top w:w="10" w:type="dxa"/>
              <w:left w:w="10" w:type="dxa"/>
              <w:right w:w="10" w:type="dxa"/>
            </w:tcMar>
            <w:vAlign w:val="center"/>
          </w:tcPr>
          <w:p w14:paraId="5A6C728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F5D4E3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对擅自停止使用取退水计量设施，不按规定提供取水、退水计量资料等行为的行政处罚</w:t>
            </w:r>
          </w:p>
        </w:tc>
        <w:tc>
          <w:tcPr>
            <w:tcW w:w="548" w:type="dxa"/>
            <w:shd w:val="clear" w:color="auto" w:fill="auto"/>
            <w:tcMar>
              <w:top w:w="10" w:type="dxa"/>
              <w:left w:w="10" w:type="dxa"/>
              <w:right w:w="10" w:type="dxa"/>
            </w:tcMar>
            <w:vAlign w:val="center"/>
          </w:tcPr>
          <w:p w14:paraId="5B42EF3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DA43F7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997F48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70BF64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1.【部门规章】《取水许可管理办法》（2008年水利部令第34号发布，2017年水利部令第49号修正）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取水单位或者个人违反本办法规定，有下列行为之一的，由取水审批机关责令其限期改正，并可处1000元以下罚款：（二）擅自停止使用取退水计量设施的；（三）不按规定提供取水、退水计量资料的。</w:t>
            </w:r>
          </w:p>
        </w:tc>
        <w:tc>
          <w:tcPr>
            <w:tcW w:w="4075" w:type="dxa"/>
            <w:shd w:val="clear" w:color="auto" w:fill="auto"/>
            <w:tcMar>
              <w:top w:w="10" w:type="dxa"/>
              <w:left w:w="10" w:type="dxa"/>
              <w:right w:w="10" w:type="dxa"/>
            </w:tcMar>
            <w:vAlign w:val="center"/>
          </w:tcPr>
          <w:p w14:paraId="115123A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3394311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1C140D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AC2A74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91A6E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F4450F5">
            <w:pPr>
              <w:jc w:val="center"/>
              <w:rPr>
                <w:rFonts w:hint="default" w:ascii="仿宋_GB2312" w:hAnsi="宋体" w:eastAsia="仿宋_GB2312" w:cs="仿宋_GB2312"/>
                <w:i w:val="0"/>
                <w:iCs w:val="0"/>
                <w:strike w:val="0"/>
                <w:dstrike w:val="0"/>
                <w:color w:val="auto"/>
                <w:sz w:val="21"/>
                <w:szCs w:val="21"/>
                <w:u w:val="none"/>
              </w:rPr>
            </w:pPr>
          </w:p>
        </w:tc>
      </w:tr>
      <w:tr w14:paraId="0232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76" w:hRule="atLeast"/>
        </w:trPr>
        <w:tc>
          <w:tcPr>
            <w:tcW w:w="537" w:type="dxa"/>
            <w:shd w:val="clear" w:color="auto" w:fill="auto"/>
            <w:tcMar>
              <w:top w:w="10" w:type="dxa"/>
              <w:left w:w="10" w:type="dxa"/>
              <w:right w:w="10" w:type="dxa"/>
            </w:tcMar>
            <w:vAlign w:val="center"/>
          </w:tcPr>
          <w:p w14:paraId="702D81E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14 </w:t>
            </w:r>
          </w:p>
        </w:tc>
        <w:tc>
          <w:tcPr>
            <w:tcW w:w="775" w:type="dxa"/>
            <w:shd w:val="clear" w:color="auto" w:fill="auto"/>
            <w:tcMar>
              <w:top w:w="10" w:type="dxa"/>
              <w:left w:w="10" w:type="dxa"/>
              <w:right w:w="10" w:type="dxa"/>
            </w:tcMar>
            <w:vAlign w:val="center"/>
          </w:tcPr>
          <w:p w14:paraId="4B4BFFA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A1FAB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对申请人隐瞒有关情况或者提供虚假材料骗取取水申请批准文件、取水许可证行为的行政处罚</w:t>
            </w:r>
          </w:p>
        </w:tc>
        <w:tc>
          <w:tcPr>
            <w:tcW w:w="548" w:type="dxa"/>
            <w:shd w:val="clear" w:color="auto" w:fill="auto"/>
            <w:tcMar>
              <w:top w:w="10" w:type="dxa"/>
              <w:left w:w="10" w:type="dxa"/>
              <w:right w:w="10" w:type="dxa"/>
            </w:tcMar>
            <w:vAlign w:val="center"/>
          </w:tcPr>
          <w:p w14:paraId="3BC845F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5942DC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849E66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12394C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第五十条 申请人隐瞒有关情况或者提供虚假材料骗取取水申请批准文件或者取水许可证的，取水申请批准文件或者取水许可证无效，对申请人给予警告，责令其限期补缴应当缴纳的水资源费，处2万元以上10万元以下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本条例规定的行政处罚，由县级以上人民政府水行政主管部门或者流域管理机构按照规定的权限决定。</w:t>
            </w:r>
          </w:p>
        </w:tc>
        <w:tc>
          <w:tcPr>
            <w:tcW w:w="4075" w:type="dxa"/>
            <w:shd w:val="clear" w:color="auto" w:fill="auto"/>
            <w:tcMar>
              <w:top w:w="10" w:type="dxa"/>
              <w:left w:w="10" w:type="dxa"/>
              <w:right w:w="10" w:type="dxa"/>
            </w:tcMar>
            <w:vAlign w:val="center"/>
          </w:tcPr>
          <w:p w14:paraId="150EA24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7246FA4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36C42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045ABA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E8793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6C0CB82">
            <w:pPr>
              <w:jc w:val="center"/>
              <w:rPr>
                <w:rFonts w:hint="default" w:ascii="仿宋_GB2312" w:hAnsi="宋体" w:eastAsia="仿宋_GB2312" w:cs="仿宋_GB2312"/>
                <w:i w:val="0"/>
                <w:iCs w:val="0"/>
                <w:strike w:val="0"/>
                <w:dstrike w:val="0"/>
                <w:color w:val="auto"/>
                <w:sz w:val="21"/>
                <w:szCs w:val="21"/>
                <w:u w:val="none"/>
              </w:rPr>
            </w:pPr>
          </w:p>
        </w:tc>
      </w:tr>
      <w:tr w14:paraId="27F7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2740AF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15 </w:t>
            </w:r>
          </w:p>
        </w:tc>
        <w:tc>
          <w:tcPr>
            <w:tcW w:w="775" w:type="dxa"/>
            <w:shd w:val="clear" w:color="auto" w:fill="auto"/>
            <w:tcMar>
              <w:top w:w="10" w:type="dxa"/>
              <w:left w:w="10" w:type="dxa"/>
              <w:right w:w="10" w:type="dxa"/>
            </w:tcMar>
            <w:vAlign w:val="center"/>
          </w:tcPr>
          <w:p w14:paraId="5D4A863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6C9132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对业主单位或者其委托的从事建设项目水资源论证工作的单位在建设项目水资源论证工作中弄虚作假行为的行政处罚</w:t>
            </w:r>
          </w:p>
        </w:tc>
        <w:tc>
          <w:tcPr>
            <w:tcW w:w="548" w:type="dxa"/>
            <w:shd w:val="clear" w:color="auto" w:fill="auto"/>
            <w:tcMar>
              <w:top w:w="10" w:type="dxa"/>
              <w:left w:w="10" w:type="dxa"/>
              <w:right w:w="10" w:type="dxa"/>
            </w:tcMar>
            <w:vAlign w:val="center"/>
          </w:tcPr>
          <w:p w14:paraId="32314A5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47808F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DC3FC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4898DC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1.【部门规章】《建设项目水资源论证管理办法》（2002年水利部、国家计委令第15号发布，2017年水利部令第49号修正）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第十二条 业主单位或者其委托的从事建设项目水资源论证工作的单位，在建设项目水资源论证工作中弄虚作假的，由水行政主管部门处违法所得3倍以下，最高不超过3万元的罚款。违反《取水许可和水资源费征收管理条例》第五十条的，依照其规定处罚。</w:t>
            </w:r>
          </w:p>
        </w:tc>
        <w:tc>
          <w:tcPr>
            <w:tcW w:w="4075" w:type="dxa"/>
            <w:shd w:val="clear" w:color="auto" w:fill="auto"/>
            <w:tcMar>
              <w:top w:w="10" w:type="dxa"/>
              <w:left w:w="10" w:type="dxa"/>
              <w:right w:w="10" w:type="dxa"/>
            </w:tcMar>
            <w:vAlign w:val="center"/>
          </w:tcPr>
          <w:p w14:paraId="797C94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1B2904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BD2461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DDD0A2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47C1D5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D750A13">
            <w:pPr>
              <w:jc w:val="center"/>
              <w:rPr>
                <w:rFonts w:hint="default" w:ascii="仿宋_GB2312" w:hAnsi="宋体" w:eastAsia="仿宋_GB2312" w:cs="仿宋_GB2312"/>
                <w:i w:val="0"/>
                <w:iCs w:val="0"/>
                <w:strike w:val="0"/>
                <w:dstrike w:val="0"/>
                <w:color w:val="auto"/>
                <w:sz w:val="21"/>
                <w:szCs w:val="21"/>
                <w:u w:val="none"/>
              </w:rPr>
            </w:pPr>
          </w:p>
        </w:tc>
      </w:tr>
      <w:tr w14:paraId="3280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500163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16 </w:t>
            </w:r>
          </w:p>
        </w:tc>
        <w:tc>
          <w:tcPr>
            <w:tcW w:w="775" w:type="dxa"/>
            <w:shd w:val="clear" w:color="auto" w:fill="auto"/>
            <w:tcMar>
              <w:top w:w="10" w:type="dxa"/>
              <w:left w:w="10" w:type="dxa"/>
              <w:right w:w="10" w:type="dxa"/>
            </w:tcMar>
            <w:vAlign w:val="center"/>
          </w:tcPr>
          <w:p w14:paraId="05418B6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1ECFF2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对地下水取水工程未安装计量设施，计量设施不合格或者运行不正常行为的行政处罚</w:t>
            </w:r>
          </w:p>
        </w:tc>
        <w:tc>
          <w:tcPr>
            <w:tcW w:w="548" w:type="dxa"/>
            <w:shd w:val="clear" w:color="auto" w:fill="auto"/>
            <w:tcMar>
              <w:top w:w="10" w:type="dxa"/>
              <w:left w:w="10" w:type="dxa"/>
              <w:right w:w="10" w:type="dxa"/>
            </w:tcMar>
            <w:vAlign w:val="center"/>
          </w:tcPr>
          <w:p w14:paraId="24C910F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FA3D67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2146A3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5858E9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第五十六条 地下水取水工程未安装计量设施的，由县级以上地方人民政府水行政主管部门责令限期安装，并按照日最大取水能力计算的取水量计征相关费用，处10万元以上50万元以下罚款；情节严重的，吊销取水许可证。</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计量设施不合格或者运行不正常的，由县级以上地方人民政府水行政主管部门责令限期更换或者修复；逾期不更换或者不修复的，按照日最大取水能力计算的取水量计征相关费用，处10万元以上50万元以下罚款；情节严重的，吊销取水许可证。</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25C938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7609C1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F5E4B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C92BD2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AB9B80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10D7181">
            <w:pPr>
              <w:jc w:val="center"/>
              <w:rPr>
                <w:rFonts w:hint="default" w:ascii="仿宋_GB2312" w:hAnsi="宋体" w:eastAsia="仿宋_GB2312" w:cs="仿宋_GB2312"/>
                <w:i w:val="0"/>
                <w:iCs w:val="0"/>
                <w:strike w:val="0"/>
                <w:dstrike w:val="0"/>
                <w:color w:val="auto"/>
                <w:sz w:val="21"/>
                <w:szCs w:val="21"/>
                <w:u w:val="none"/>
              </w:rPr>
            </w:pPr>
          </w:p>
        </w:tc>
      </w:tr>
      <w:tr w14:paraId="2864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21D273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17 </w:t>
            </w:r>
          </w:p>
        </w:tc>
        <w:tc>
          <w:tcPr>
            <w:tcW w:w="775" w:type="dxa"/>
            <w:shd w:val="clear" w:color="auto" w:fill="auto"/>
            <w:tcMar>
              <w:top w:w="10" w:type="dxa"/>
              <w:left w:w="10" w:type="dxa"/>
              <w:right w:w="10" w:type="dxa"/>
            </w:tcMar>
            <w:vAlign w:val="center"/>
          </w:tcPr>
          <w:p w14:paraId="043C1E4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48945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对地下工程建设对地下水补给、径流、排泄等造成重大不利影响，地下工程建设方案和防止对地下水产生不利影响的措施方案应当备案而未备案等行为的行政处罚</w:t>
            </w:r>
          </w:p>
        </w:tc>
        <w:tc>
          <w:tcPr>
            <w:tcW w:w="548" w:type="dxa"/>
            <w:shd w:val="clear" w:color="auto" w:fill="auto"/>
            <w:tcMar>
              <w:top w:w="10" w:type="dxa"/>
              <w:left w:w="10" w:type="dxa"/>
              <w:right w:w="10" w:type="dxa"/>
            </w:tcMar>
            <w:vAlign w:val="center"/>
          </w:tcPr>
          <w:p w14:paraId="1F68322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F44E4A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7533C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7A8B8A1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第五十七条 地下工程建设对地下水补给、径流、排泄等造成重大不利影响的，由县级以上地方人民政府水行政主管部门责令限期采取措施消除不利影响，处10万元以上50万元以下罚款；逾期不采取措施消除不利影响的，由县级以上地方人民政府水行政主管部门组织采取措施消除不利影响，所需费用由违法行为人承担。</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地下工程建设应当于开工前将工程建设方案和防止对地下水产生不利影响的措施方案备案而未备案的，或者矿产资源开采、地下工程建设疏干排水应当定期报送疏干排水量和地下水水位状况而未报送的，由县级以上地方人民政府水行政主管部门责令限期补报；逾期不补报的，处2万元以上10万元以下罚款。</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25FD72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466D58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AE193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3E1BB52">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A0BA3D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55CCCB2">
            <w:pPr>
              <w:jc w:val="center"/>
              <w:rPr>
                <w:rFonts w:hint="default" w:ascii="仿宋_GB2312" w:hAnsi="宋体" w:eastAsia="仿宋_GB2312" w:cs="仿宋_GB2312"/>
                <w:i w:val="0"/>
                <w:iCs w:val="0"/>
                <w:strike w:val="0"/>
                <w:dstrike w:val="0"/>
                <w:color w:val="auto"/>
                <w:sz w:val="21"/>
                <w:szCs w:val="21"/>
                <w:u w:val="none"/>
              </w:rPr>
            </w:pPr>
          </w:p>
        </w:tc>
      </w:tr>
      <w:tr w14:paraId="22D0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21E537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18 </w:t>
            </w:r>
          </w:p>
        </w:tc>
        <w:tc>
          <w:tcPr>
            <w:tcW w:w="775" w:type="dxa"/>
            <w:shd w:val="clear" w:color="auto" w:fill="auto"/>
            <w:tcMar>
              <w:top w:w="10" w:type="dxa"/>
              <w:left w:w="10" w:type="dxa"/>
              <w:right w:w="10" w:type="dxa"/>
            </w:tcMar>
            <w:vAlign w:val="center"/>
          </w:tcPr>
          <w:p w14:paraId="1C7A1E8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28B06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对未按照规定封井或者回填报废的矿井、钻井、地下水取水工程或者未建成、已完成勘探任务、依法应当停止取水的地下水取水工程行为的行政处罚</w:t>
            </w:r>
          </w:p>
        </w:tc>
        <w:tc>
          <w:tcPr>
            <w:tcW w:w="548" w:type="dxa"/>
            <w:shd w:val="clear" w:color="auto" w:fill="auto"/>
            <w:tcMar>
              <w:top w:w="10" w:type="dxa"/>
              <w:left w:w="10" w:type="dxa"/>
              <w:right w:w="10" w:type="dxa"/>
            </w:tcMar>
            <w:vAlign w:val="center"/>
          </w:tcPr>
          <w:p w14:paraId="25F52EB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AF6EE7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7A141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00CBE08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第五十八条 报废的矿井、钻井、地下水取水工程，或者未建成、已完成勘探任务、依法应当停止取水的地下水取水工程，未按照规定封井或者回填的，由县级以上地方人民政府或者其授权的部门责令封井或者回填，处10万元以上50万元以下罚款；不具备封井或者回填能力的，由县级以上地方人民政府或者其授权的部门组织封井或者回填，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66C7C40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33273CF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34681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B6FDDE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BD0530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9EF2AAC">
            <w:pPr>
              <w:jc w:val="center"/>
              <w:rPr>
                <w:rFonts w:hint="default" w:ascii="仿宋_GB2312" w:hAnsi="宋体" w:eastAsia="仿宋_GB2312" w:cs="仿宋_GB2312"/>
                <w:i w:val="0"/>
                <w:iCs w:val="0"/>
                <w:strike w:val="0"/>
                <w:dstrike w:val="0"/>
                <w:color w:val="auto"/>
                <w:sz w:val="21"/>
                <w:szCs w:val="21"/>
                <w:u w:val="none"/>
              </w:rPr>
            </w:pPr>
          </w:p>
        </w:tc>
      </w:tr>
      <w:tr w14:paraId="6B43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D54258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19 </w:t>
            </w:r>
          </w:p>
        </w:tc>
        <w:tc>
          <w:tcPr>
            <w:tcW w:w="775" w:type="dxa"/>
            <w:shd w:val="clear" w:color="auto" w:fill="auto"/>
            <w:tcMar>
              <w:top w:w="10" w:type="dxa"/>
              <w:left w:w="10" w:type="dxa"/>
              <w:right w:w="10" w:type="dxa"/>
            </w:tcMar>
            <w:vAlign w:val="center"/>
          </w:tcPr>
          <w:p w14:paraId="1B2172A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6C65C8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对侵占、毁坏或者擅自移动地下水监测设施设备及其标志行为的行政处罚</w:t>
            </w:r>
          </w:p>
        </w:tc>
        <w:tc>
          <w:tcPr>
            <w:tcW w:w="548" w:type="dxa"/>
            <w:shd w:val="clear" w:color="auto" w:fill="auto"/>
            <w:tcMar>
              <w:top w:w="10" w:type="dxa"/>
              <w:left w:w="10" w:type="dxa"/>
              <w:right w:w="10" w:type="dxa"/>
            </w:tcMar>
            <w:vAlign w:val="center"/>
          </w:tcPr>
          <w:p w14:paraId="321B97B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1ABEDD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B909D1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70BF76B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第六十条 侵占、毁坏或者擅自移动地下水监测设施设备及其标志的，由县级以上地方人民政府水行政、自然资源、生态环境主管部门责令停止违法行为，限期采取补救措施，处2万元以上10万元以下罚款；逾期不采取补救措施的，由县级以上地方人民政府水行政、自然资源、生态环境主管部门组织补救，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7836E0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42A6F69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2C98DC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78A946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9955AA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8B56CE4">
            <w:pPr>
              <w:jc w:val="center"/>
              <w:rPr>
                <w:rFonts w:hint="default" w:ascii="仿宋_GB2312" w:hAnsi="宋体" w:eastAsia="仿宋_GB2312" w:cs="仿宋_GB2312"/>
                <w:i w:val="0"/>
                <w:iCs w:val="0"/>
                <w:strike w:val="0"/>
                <w:dstrike w:val="0"/>
                <w:color w:val="auto"/>
                <w:sz w:val="21"/>
                <w:szCs w:val="21"/>
                <w:u w:val="none"/>
              </w:rPr>
            </w:pPr>
          </w:p>
        </w:tc>
      </w:tr>
      <w:tr w14:paraId="4184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497BC5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20 </w:t>
            </w:r>
          </w:p>
        </w:tc>
        <w:tc>
          <w:tcPr>
            <w:tcW w:w="775" w:type="dxa"/>
            <w:shd w:val="clear" w:color="auto" w:fill="auto"/>
            <w:tcMar>
              <w:top w:w="10" w:type="dxa"/>
              <w:left w:w="10" w:type="dxa"/>
              <w:right w:w="10" w:type="dxa"/>
            </w:tcMar>
            <w:vAlign w:val="center"/>
          </w:tcPr>
          <w:p w14:paraId="4D2264E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02AAC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对以监测、勘探为目的的地下水取水工程逾期不补办备案手续行为的行政处罚</w:t>
            </w:r>
          </w:p>
        </w:tc>
        <w:tc>
          <w:tcPr>
            <w:tcW w:w="548" w:type="dxa"/>
            <w:shd w:val="clear" w:color="auto" w:fill="auto"/>
            <w:tcMar>
              <w:top w:w="10" w:type="dxa"/>
              <w:left w:w="10" w:type="dxa"/>
              <w:right w:w="10" w:type="dxa"/>
            </w:tcMar>
            <w:vAlign w:val="center"/>
          </w:tcPr>
          <w:p w14:paraId="1472CFD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8D5D0E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A5C947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511AC4E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第六十一条 以监测、勘探为目的的地下水取水工程在施工前应当备案而未备案的，由县级以上地方人民政府水行政主管部门责令限期补办备案手续；逾期不补办备案手续的，责令限期封井或者回填，处2万元以上10万元以下罚款；逾期不封井或者回填的，由县级以上地方人民政府水行政主管部门组织封井或者回填，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061A76A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4607C8D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8B9DE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ABDC38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E81FCB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4E0E847">
            <w:pPr>
              <w:jc w:val="center"/>
              <w:rPr>
                <w:rFonts w:hint="default" w:ascii="仿宋_GB2312" w:hAnsi="宋体" w:eastAsia="仿宋_GB2312" w:cs="仿宋_GB2312"/>
                <w:i w:val="0"/>
                <w:iCs w:val="0"/>
                <w:strike w:val="0"/>
                <w:dstrike w:val="0"/>
                <w:color w:val="auto"/>
                <w:sz w:val="21"/>
                <w:szCs w:val="21"/>
                <w:u w:val="none"/>
              </w:rPr>
            </w:pPr>
          </w:p>
        </w:tc>
      </w:tr>
      <w:tr w14:paraId="4B69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DB09E2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21 </w:t>
            </w:r>
          </w:p>
        </w:tc>
        <w:tc>
          <w:tcPr>
            <w:tcW w:w="775" w:type="dxa"/>
            <w:shd w:val="clear" w:color="auto" w:fill="auto"/>
            <w:tcMar>
              <w:top w:w="10" w:type="dxa"/>
              <w:left w:w="10" w:type="dxa"/>
              <w:right w:w="10" w:type="dxa"/>
            </w:tcMar>
            <w:vAlign w:val="center"/>
          </w:tcPr>
          <w:p w14:paraId="0774E1D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382956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对水文、水资源调查评价单位不具备法人资格和固定工作场所，不具备与所从事水文活动相适应的专业技术人员、专业技术装备等条件，从事水文活动行为的行政处罚</w:t>
            </w:r>
          </w:p>
        </w:tc>
        <w:tc>
          <w:tcPr>
            <w:tcW w:w="548" w:type="dxa"/>
            <w:shd w:val="clear" w:color="auto" w:fill="auto"/>
            <w:tcMar>
              <w:top w:w="10" w:type="dxa"/>
              <w:left w:w="10" w:type="dxa"/>
              <w:right w:w="10" w:type="dxa"/>
            </w:tcMar>
            <w:vAlign w:val="center"/>
          </w:tcPr>
          <w:p w14:paraId="39A3369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A3B7BF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204F15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7703A06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1.【行政法规】《中华人民共和国水文条例》（2007年国务院令第496号发布，2017年第三次修订）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第二十四条 县级以上人民政府水行政主管部门应当根据经济社会的发展要求，会同有关部门组织相关单位开展水资源调查评价工作。</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从事水文、水资源调查评价的单位，应当具备下列条件：（一）具有法人资格和固定的工作场所；（二）具有与所从事水文活动相适应的专业技术人员；（三）具有与所从事水文活动相适应的专业技术装备；（四）具有健全的管理制度；（五）符合国务院水行政主管部门规定的其他条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不符合本条例第二十四条规定的条件从事水文活动的，责令停止违法行为，没收违法所得，并处5万元以上10万元以下罚款。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本条例规定的行政处罚，由县级以上人民政府水行政主管部门或者流域管理机构依据职权决定。</w:t>
            </w:r>
          </w:p>
        </w:tc>
        <w:tc>
          <w:tcPr>
            <w:tcW w:w="4075" w:type="dxa"/>
            <w:shd w:val="clear" w:color="auto" w:fill="auto"/>
            <w:tcMar>
              <w:top w:w="10" w:type="dxa"/>
              <w:left w:w="10" w:type="dxa"/>
              <w:right w:w="10" w:type="dxa"/>
            </w:tcMar>
            <w:vAlign w:val="center"/>
          </w:tcPr>
          <w:p w14:paraId="6295AD2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422809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E0F07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8716D32">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C56D4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708138A">
            <w:pPr>
              <w:jc w:val="center"/>
              <w:rPr>
                <w:rFonts w:hint="default" w:ascii="仿宋_GB2312" w:hAnsi="宋体" w:eastAsia="仿宋_GB2312" w:cs="仿宋_GB2312"/>
                <w:i w:val="0"/>
                <w:iCs w:val="0"/>
                <w:strike w:val="0"/>
                <w:dstrike w:val="0"/>
                <w:color w:val="auto"/>
                <w:sz w:val="21"/>
                <w:szCs w:val="21"/>
                <w:u w:val="none"/>
              </w:rPr>
            </w:pPr>
          </w:p>
        </w:tc>
      </w:tr>
      <w:tr w14:paraId="1E04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EA9B27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22 </w:t>
            </w:r>
          </w:p>
        </w:tc>
        <w:tc>
          <w:tcPr>
            <w:tcW w:w="775" w:type="dxa"/>
            <w:shd w:val="clear" w:color="auto" w:fill="auto"/>
            <w:tcMar>
              <w:top w:w="10" w:type="dxa"/>
              <w:left w:w="10" w:type="dxa"/>
              <w:right w:w="10" w:type="dxa"/>
            </w:tcMar>
            <w:vAlign w:val="center"/>
          </w:tcPr>
          <w:p w14:paraId="4CCDFDF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A3D0B8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对拒绝、阻碍县级以上人民政府有关部门依法对湿地的保护、修复、利用等活动进行监督检查行为的行政处罚</w:t>
            </w:r>
          </w:p>
        </w:tc>
        <w:tc>
          <w:tcPr>
            <w:tcW w:w="548" w:type="dxa"/>
            <w:shd w:val="clear" w:color="auto" w:fill="auto"/>
            <w:tcMar>
              <w:top w:w="10" w:type="dxa"/>
              <w:left w:w="10" w:type="dxa"/>
              <w:right w:w="10" w:type="dxa"/>
            </w:tcMar>
            <w:vAlign w:val="center"/>
          </w:tcPr>
          <w:p w14:paraId="03F7D5A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FE91EC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EB6840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3F206C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1.【法律】《中华人民共和国湿地保护法》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第四十五条 县级以上人民政府林业草原、自然资源、水行政、住房城乡建设、生态环境、农业农村主管部门应当依照本法规定，按照职责分工对湿地的保护、修复、利用等活动进行监督检查，依法查处破坏湿地的违法行为。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违反本法规定，拒绝、阻碍县级以上人民政府有关部门依法进行的监督检查的，处二万元以上二十万元以下罚款；情节严重的，可以责令停产停业整顿。</w:t>
            </w:r>
          </w:p>
        </w:tc>
        <w:tc>
          <w:tcPr>
            <w:tcW w:w="4075" w:type="dxa"/>
            <w:shd w:val="clear" w:color="auto" w:fill="auto"/>
            <w:tcMar>
              <w:top w:w="10" w:type="dxa"/>
              <w:left w:w="10" w:type="dxa"/>
              <w:right w:w="10" w:type="dxa"/>
            </w:tcMar>
            <w:vAlign w:val="center"/>
          </w:tcPr>
          <w:p w14:paraId="26DA1B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3667027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AD35F3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DE63BB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9FB86F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DFF54D1">
            <w:pPr>
              <w:jc w:val="center"/>
              <w:rPr>
                <w:rFonts w:hint="default" w:ascii="仿宋_GB2312" w:hAnsi="宋体" w:eastAsia="仿宋_GB2312" w:cs="仿宋_GB2312"/>
                <w:i w:val="0"/>
                <w:iCs w:val="0"/>
                <w:strike w:val="0"/>
                <w:dstrike w:val="0"/>
                <w:color w:val="auto"/>
                <w:sz w:val="21"/>
                <w:szCs w:val="21"/>
                <w:u w:val="none"/>
              </w:rPr>
            </w:pPr>
          </w:p>
        </w:tc>
      </w:tr>
      <w:tr w14:paraId="5B65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9641E3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23 </w:t>
            </w:r>
          </w:p>
        </w:tc>
        <w:tc>
          <w:tcPr>
            <w:tcW w:w="775" w:type="dxa"/>
            <w:shd w:val="clear" w:color="auto" w:fill="auto"/>
            <w:tcMar>
              <w:top w:w="10" w:type="dxa"/>
              <w:left w:w="10" w:type="dxa"/>
              <w:right w:w="10" w:type="dxa"/>
            </w:tcMar>
            <w:vAlign w:val="center"/>
          </w:tcPr>
          <w:p w14:paraId="108E169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240F7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对抢水、非法引水、截水或者哄抢抗旱物资行为的行政处罚</w:t>
            </w:r>
          </w:p>
        </w:tc>
        <w:tc>
          <w:tcPr>
            <w:tcW w:w="548" w:type="dxa"/>
            <w:shd w:val="clear" w:color="auto" w:fill="auto"/>
            <w:tcMar>
              <w:top w:w="10" w:type="dxa"/>
              <w:left w:w="10" w:type="dxa"/>
              <w:right w:w="10" w:type="dxa"/>
            </w:tcMar>
            <w:vAlign w:val="center"/>
          </w:tcPr>
          <w:p w14:paraId="2845AAA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CD1661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503BFC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60F441C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1.【行政法规】《中华人民共和国抗旱条例》（2009年国务院令第552号公布）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第六十二条 违反本条例规定，抢水、非法引水、截水或者哄抢抗旱物资的，由县级以上人民政府水行政主管部门或者流域管理机构责令停止违法行为，予以警告；构成违反治安管理行为的，依照《中华人民共和国治安管理处罚法》的规定处罚；构成犯罪的，依法追究刑事责任。</w:t>
            </w:r>
          </w:p>
        </w:tc>
        <w:tc>
          <w:tcPr>
            <w:tcW w:w="4075" w:type="dxa"/>
            <w:shd w:val="clear" w:color="auto" w:fill="auto"/>
            <w:tcMar>
              <w:top w:w="10" w:type="dxa"/>
              <w:left w:w="10" w:type="dxa"/>
              <w:right w:w="10" w:type="dxa"/>
            </w:tcMar>
            <w:vAlign w:val="center"/>
          </w:tcPr>
          <w:p w14:paraId="5CF1DD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DAA512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1943A6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9E1F2C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A118D0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3D74A1B">
            <w:pPr>
              <w:jc w:val="center"/>
              <w:rPr>
                <w:rFonts w:hint="default" w:ascii="仿宋_GB2312" w:hAnsi="宋体" w:eastAsia="仿宋_GB2312" w:cs="仿宋_GB2312"/>
                <w:i w:val="0"/>
                <w:iCs w:val="0"/>
                <w:strike w:val="0"/>
                <w:dstrike w:val="0"/>
                <w:color w:val="auto"/>
                <w:sz w:val="21"/>
                <w:szCs w:val="21"/>
                <w:u w:val="none"/>
              </w:rPr>
            </w:pPr>
          </w:p>
        </w:tc>
      </w:tr>
      <w:tr w14:paraId="1FD5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1FFAC2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24 </w:t>
            </w:r>
          </w:p>
        </w:tc>
        <w:tc>
          <w:tcPr>
            <w:tcW w:w="775" w:type="dxa"/>
            <w:shd w:val="clear" w:color="auto" w:fill="auto"/>
            <w:tcMar>
              <w:top w:w="10" w:type="dxa"/>
              <w:left w:w="10" w:type="dxa"/>
              <w:right w:w="10" w:type="dxa"/>
            </w:tcMar>
            <w:vAlign w:val="center"/>
          </w:tcPr>
          <w:p w14:paraId="0B4E4D6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8EC0FC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对阻碍、威胁防汛抗旱指挥机构、水行政主管部门或者流域管理机构的工作人员依法执行职务行为的行政处罚</w:t>
            </w:r>
          </w:p>
        </w:tc>
        <w:tc>
          <w:tcPr>
            <w:tcW w:w="548" w:type="dxa"/>
            <w:shd w:val="clear" w:color="auto" w:fill="auto"/>
            <w:tcMar>
              <w:top w:w="10" w:type="dxa"/>
              <w:left w:w="10" w:type="dxa"/>
              <w:right w:w="10" w:type="dxa"/>
            </w:tcMar>
            <w:vAlign w:val="center"/>
          </w:tcPr>
          <w:p w14:paraId="2379D14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B60C8D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310E39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8CB5D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1.【行政法规】《中华人民共和国抗旱条例》（2009年国务院令第552号公布）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违反本条例规定，阻碍、威胁防汛抗旱指挥机构、水行政主管部门或者流域管理机构的工作人员依法执行职务的，由县级以上人民政府水行政主管部门或者流域管理机构责令改正，予以警告；构成违反治安管理行为的，依照《中华人民共和国治安管理处罚法》的规定处罚；构成犯罪的，依法追究刑事责任。</w:t>
            </w:r>
          </w:p>
        </w:tc>
        <w:tc>
          <w:tcPr>
            <w:tcW w:w="4075" w:type="dxa"/>
            <w:shd w:val="clear" w:color="auto" w:fill="auto"/>
            <w:tcMar>
              <w:top w:w="10" w:type="dxa"/>
              <w:left w:w="10" w:type="dxa"/>
              <w:right w:w="10" w:type="dxa"/>
            </w:tcMar>
            <w:vAlign w:val="center"/>
          </w:tcPr>
          <w:p w14:paraId="2EE66F9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2E83732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54DD9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E23C7F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544EE4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5721339">
            <w:pPr>
              <w:jc w:val="center"/>
              <w:rPr>
                <w:rFonts w:hint="default" w:ascii="仿宋_GB2312" w:hAnsi="宋体" w:eastAsia="仿宋_GB2312" w:cs="仿宋_GB2312"/>
                <w:i w:val="0"/>
                <w:iCs w:val="0"/>
                <w:strike w:val="0"/>
                <w:dstrike w:val="0"/>
                <w:color w:val="auto"/>
                <w:sz w:val="21"/>
                <w:szCs w:val="21"/>
                <w:u w:val="none"/>
              </w:rPr>
            </w:pPr>
          </w:p>
        </w:tc>
      </w:tr>
      <w:tr w14:paraId="074D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2AAED5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25 </w:t>
            </w:r>
          </w:p>
        </w:tc>
        <w:tc>
          <w:tcPr>
            <w:tcW w:w="775" w:type="dxa"/>
            <w:shd w:val="clear" w:color="auto" w:fill="auto"/>
            <w:tcMar>
              <w:top w:w="10" w:type="dxa"/>
              <w:left w:w="10" w:type="dxa"/>
              <w:right w:w="10" w:type="dxa"/>
            </w:tcMar>
            <w:vAlign w:val="center"/>
          </w:tcPr>
          <w:p w14:paraId="391EB8B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BA8C83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对侵占、破坏水源和抗旱设施行为的行政处罚</w:t>
            </w:r>
          </w:p>
        </w:tc>
        <w:tc>
          <w:tcPr>
            <w:tcW w:w="548" w:type="dxa"/>
            <w:shd w:val="clear" w:color="auto" w:fill="auto"/>
            <w:tcMar>
              <w:top w:w="10" w:type="dxa"/>
              <w:left w:w="10" w:type="dxa"/>
              <w:right w:w="10" w:type="dxa"/>
            </w:tcMar>
            <w:vAlign w:val="center"/>
          </w:tcPr>
          <w:p w14:paraId="44684E7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772345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705D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611CBA1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1.【行政法规】《中华人民共和国抗旱条例》（2009年国务院令第552号公布）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第六十一条 违反本条例规定，侵占、破坏水源和抗旱设施的，由县级以上人民政府水行政主管部门或者流域管理机构责令停止违法行为，采取补救措施，处1万元以上5万元以下的罚款；造成损坏的，依法承担民事责任；构成违反治安管理行为的，依照《中华人民共和国治安管理处罚法》的规定处罚；构成犯罪的，依法追究刑事责任。</w:t>
            </w:r>
          </w:p>
        </w:tc>
        <w:tc>
          <w:tcPr>
            <w:tcW w:w="4075" w:type="dxa"/>
            <w:shd w:val="clear" w:color="auto" w:fill="auto"/>
            <w:tcMar>
              <w:top w:w="10" w:type="dxa"/>
              <w:left w:w="10" w:type="dxa"/>
              <w:right w:w="10" w:type="dxa"/>
            </w:tcMar>
            <w:vAlign w:val="center"/>
          </w:tcPr>
          <w:p w14:paraId="1FD7893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4F4CF3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FBDF17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33FE78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7C51AA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0B1A420">
            <w:pPr>
              <w:jc w:val="center"/>
              <w:rPr>
                <w:rFonts w:hint="default" w:ascii="仿宋_GB2312" w:hAnsi="宋体" w:eastAsia="仿宋_GB2312" w:cs="仿宋_GB2312"/>
                <w:i w:val="0"/>
                <w:iCs w:val="0"/>
                <w:strike w:val="0"/>
                <w:dstrike w:val="0"/>
                <w:color w:val="auto"/>
                <w:sz w:val="21"/>
                <w:szCs w:val="21"/>
                <w:u w:val="none"/>
              </w:rPr>
            </w:pPr>
          </w:p>
        </w:tc>
      </w:tr>
      <w:tr w14:paraId="3C39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41249B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26 </w:t>
            </w:r>
          </w:p>
        </w:tc>
        <w:tc>
          <w:tcPr>
            <w:tcW w:w="775" w:type="dxa"/>
            <w:shd w:val="clear" w:color="auto" w:fill="auto"/>
            <w:tcMar>
              <w:top w:w="10" w:type="dxa"/>
              <w:left w:w="10" w:type="dxa"/>
              <w:right w:w="10" w:type="dxa"/>
            </w:tcMar>
            <w:vAlign w:val="center"/>
          </w:tcPr>
          <w:p w14:paraId="3B2221E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E9DF96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对开发利用不符合水能资源开发利用规划的水能资源行为的行政处罚</w:t>
            </w:r>
          </w:p>
        </w:tc>
        <w:tc>
          <w:tcPr>
            <w:tcW w:w="548" w:type="dxa"/>
            <w:shd w:val="clear" w:color="auto" w:fill="auto"/>
            <w:tcMar>
              <w:top w:w="10" w:type="dxa"/>
              <w:left w:w="10" w:type="dxa"/>
              <w:right w:w="10" w:type="dxa"/>
            </w:tcMar>
            <w:vAlign w:val="center"/>
          </w:tcPr>
          <w:p w14:paraId="6CB8876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4B9D39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509CD6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39D089C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第十条 水能资源开发利用项目应当严格按照水能资源开发利用规划进行。不符合水能资源开发利用规划的项目，任何单位和个人不得开发利用，有关部门不得审批或者核准。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第三十二条 违反本条例第十条规定，开发利用不符合水能资源开发利用规划的水能资源的，由县级以上人民政府水行政主管部门责令停止违法行为，限期拆除违法建（构）筑物，恢复原状；逾期不拆除的，强行拆除，所需费用由违法者承担，并处一万元以上十万元以下罚款。</w:t>
            </w:r>
          </w:p>
        </w:tc>
        <w:tc>
          <w:tcPr>
            <w:tcW w:w="4075" w:type="dxa"/>
            <w:shd w:val="clear" w:color="auto" w:fill="auto"/>
            <w:tcMar>
              <w:top w:w="10" w:type="dxa"/>
              <w:left w:w="10" w:type="dxa"/>
              <w:right w:w="10" w:type="dxa"/>
            </w:tcMar>
            <w:vAlign w:val="center"/>
          </w:tcPr>
          <w:p w14:paraId="60D22116">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2AFFE84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F845F0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AD1934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494D7F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B93EFC6">
            <w:pPr>
              <w:jc w:val="center"/>
              <w:rPr>
                <w:rFonts w:hint="default" w:ascii="仿宋_GB2312" w:hAnsi="宋体" w:eastAsia="仿宋_GB2312" w:cs="仿宋_GB2312"/>
                <w:i w:val="0"/>
                <w:iCs w:val="0"/>
                <w:strike w:val="0"/>
                <w:dstrike w:val="0"/>
                <w:color w:val="auto"/>
                <w:sz w:val="21"/>
                <w:szCs w:val="21"/>
                <w:u w:val="none"/>
              </w:rPr>
            </w:pPr>
          </w:p>
        </w:tc>
      </w:tr>
      <w:tr w14:paraId="49B7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7719A2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27 </w:t>
            </w:r>
          </w:p>
        </w:tc>
        <w:tc>
          <w:tcPr>
            <w:tcW w:w="775" w:type="dxa"/>
            <w:shd w:val="clear" w:color="auto" w:fill="auto"/>
            <w:tcMar>
              <w:top w:w="10" w:type="dxa"/>
              <w:left w:w="10" w:type="dxa"/>
              <w:right w:w="10" w:type="dxa"/>
            </w:tcMar>
            <w:vAlign w:val="center"/>
          </w:tcPr>
          <w:p w14:paraId="3B1100E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0E525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对转让未动工的水能资源开发利用项目；转让已动工但投入资金未达到建设项目总投资额百分之二十五的水能资源开发利用项目；转让水能资源开发利用项目未办理变更手续行为的行政处罚</w:t>
            </w:r>
          </w:p>
        </w:tc>
        <w:tc>
          <w:tcPr>
            <w:tcW w:w="548" w:type="dxa"/>
            <w:shd w:val="clear" w:color="auto" w:fill="auto"/>
            <w:tcMar>
              <w:top w:w="10" w:type="dxa"/>
              <w:left w:w="10" w:type="dxa"/>
              <w:right w:w="10" w:type="dxa"/>
            </w:tcMar>
            <w:vAlign w:val="center"/>
          </w:tcPr>
          <w:p w14:paraId="0FC89E2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203C00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AB4CB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0B92268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第十五条 水能资源开发利用项目可以转让。未动工或者虽已动工但投入资金未达到建设项目总投资额的百分之二十五的，不得转让。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水能资源开发利用项目业主转让水能资源开发利用项目，应当自签订转让合同之日起三十日内到有管理权限的水行政主管部门办理变更手续。</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第三十三条 违反本条例第十五条第一款规定的，由县级以上人民政府水行政主管部门按照下列规定处罚：（一）转让未动工的水能资源开发利用项目的，对转让方处十万元以上二十万元以下罚款；（二）转让已动工但投入资金未达到建设项目总投资额百分之二十五的水能资源开发利用项目的，对转让方处一万元以上十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违反本条例第十五条第二款规定的，由县级以上人民政府水行政主管部门责令停止施工、限期补办变更手续，并对转让方处一万元以上五万元以下罚款。</w:t>
            </w:r>
          </w:p>
        </w:tc>
        <w:tc>
          <w:tcPr>
            <w:tcW w:w="4075" w:type="dxa"/>
            <w:shd w:val="clear" w:color="auto" w:fill="auto"/>
            <w:tcMar>
              <w:top w:w="10" w:type="dxa"/>
              <w:left w:w="10" w:type="dxa"/>
              <w:right w:w="10" w:type="dxa"/>
            </w:tcMar>
            <w:vAlign w:val="center"/>
          </w:tcPr>
          <w:p w14:paraId="0ACA2711">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0530CC8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C091F5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FA5CB67">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FBB4A7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9446849">
            <w:pPr>
              <w:jc w:val="center"/>
              <w:rPr>
                <w:rFonts w:hint="default" w:ascii="仿宋_GB2312" w:hAnsi="宋体" w:eastAsia="仿宋_GB2312" w:cs="仿宋_GB2312"/>
                <w:i w:val="0"/>
                <w:iCs w:val="0"/>
                <w:strike w:val="0"/>
                <w:dstrike w:val="0"/>
                <w:color w:val="auto"/>
                <w:sz w:val="21"/>
                <w:szCs w:val="21"/>
                <w:u w:val="none"/>
              </w:rPr>
            </w:pPr>
          </w:p>
        </w:tc>
      </w:tr>
      <w:tr w14:paraId="47ED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6465AA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28 </w:t>
            </w:r>
          </w:p>
        </w:tc>
        <w:tc>
          <w:tcPr>
            <w:tcW w:w="775" w:type="dxa"/>
            <w:shd w:val="clear" w:color="auto" w:fill="auto"/>
            <w:tcMar>
              <w:top w:w="10" w:type="dxa"/>
              <w:left w:w="10" w:type="dxa"/>
              <w:right w:w="10" w:type="dxa"/>
            </w:tcMar>
            <w:vAlign w:val="center"/>
          </w:tcPr>
          <w:p w14:paraId="5C9FCF3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EC6BC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对水能资源开发利用项目未经验收或者验收不合格即投入生产运行；未经安全管理年检或者安全管理年检不合格继续生产运行行为的行政处罚</w:t>
            </w:r>
          </w:p>
        </w:tc>
        <w:tc>
          <w:tcPr>
            <w:tcW w:w="548" w:type="dxa"/>
            <w:shd w:val="clear" w:color="auto" w:fill="auto"/>
            <w:tcMar>
              <w:top w:w="10" w:type="dxa"/>
              <w:left w:w="10" w:type="dxa"/>
              <w:right w:w="10" w:type="dxa"/>
            </w:tcMar>
            <w:vAlign w:val="center"/>
          </w:tcPr>
          <w:p w14:paraId="3029F7E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A6DE41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F8E8A6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07F99BB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违反本条例项目建设和运行管理规定的，由县级以上人民政府水行政主管部门依据管理权限按照下列规定处罚：（一）未经验收或者验收不合格即投入生产运行的，责令停止生产运行，限期改正，有违法所得的，并处没收违法所得；逾期不改正的，并处五万元以上十万元以下罚款；（二）未经安全管理年检或者安全管理年检不合格继续生产运行的，责令停止生产运行，限期改正；逾期不改正的，并处一万元以上五万元以下罚款。</w:t>
            </w:r>
          </w:p>
        </w:tc>
        <w:tc>
          <w:tcPr>
            <w:tcW w:w="4075" w:type="dxa"/>
            <w:shd w:val="clear" w:color="auto" w:fill="auto"/>
            <w:tcMar>
              <w:top w:w="10" w:type="dxa"/>
              <w:left w:w="10" w:type="dxa"/>
              <w:right w:w="10" w:type="dxa"/>
            </w:tcMar>
            <w:vAlign w:val="center"/>
          </w:tcPr>
          <w:p w14:paraId="3A5265B1">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52DCD7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9467F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088AD9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51F80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2E2E239">
            <w:pPr>
              <w:jc w:val="center"/>
              <w:rPr>
                <w:rFonts w:hint="default" w:ascii="仿宋_GB2312" w:hAnsi="宋体" w:eastAsia="仿宋_GB2312" w:cs="仿宋_GB2312"/>
                <w:i w:val="0"/>
                <w:iCs w:val="0"/>
                <w:strike w:val="0"/>
                <w:dstrike w:val="0"/>
                <w:color w:val="auto"/>
                <w:sz w:val="21"/>
                <w:szCs w:val="21"/>
                <w:u w:val="none"/>
              </w:rPr>
            </w:pPr>
          </w:p>
        </w:tc>
      </w:tr>
      <w:tr w14:paraId="62EF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9CF511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29 </w:t>
            </w:r>
          </w:p>
        </w:tc>
        <w:tc>
          <w:tcPr>
            <w:tcW w:w="775" w:type="dxa"/>
            <w:shd w:val="clear" w:color="auto" w:fill="auto"/>
            <w:tcMar>
              <w:top w:w="10" w:type="dxa"/>
              <w:left w:w="10" w:type="dxa"/>
              <w:right w:w="10" w:type="dxa"/>
            </w:tcMar>
            <w:vAlign w:val="center"/>
          </w:tcPr>
          <w:p w14:paraId="4D27ACD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0F98D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对水能资源开发利用项目未按照已批复下泄流量的要求生产运行的行政处罚</w:t>
            </w:r>
          </w:p>
        </w:tc>
        <w:tc>
          <w:tcPr>
            <w:tcW w:w="548" w:type="dxa"/>
            <w:shd w:val="clear" w:color="auto" w:fill="auto"/>
            <w:tcMar>
              <w:top w:w="10" w:type="dxa"/>
              <w:left w:w="10" w:type="dxa"/>
              <w:right w:w="10" w:type="dxa"/>
            </w:tcMar>
            <w:vAlign w:val="center"/>
          </w:tcPr>
          <w:p w14:paraId="2367F4F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ACD82F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92520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22D44A9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水能资源开发利用项目业主和其委托的经营者，应当服从县级以上人民政府有关行政主管部门和流域管理机构对水资源的统一配置，按照已批复下泄流量的要求生产运行，确保下游居民和单位的生活、生产以及生态和航运的用水流量和用水安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违反本条例第二十七条规定，未按照已批复下泄流量的要求生产运行的，由县级以上人民政府水行政主管部门按照管理权限责令限期改正，采取补救措施；逾期不改正的，责令停止生产运行，并处二万元以上十万元以下罚款。</w:t>
            </w:r>
          </w:p>
        </w:tc>
        <w:tc>
          <w:tcPr>
            <w:tcW w:w="4075" w:type="dxa"/>
            <w:shd w:val="clear" w:color="auto" w:fill="auto"/>
            <w:tcMar>
              <w:top w:w="10" w:type="dxa"/>
              <w:left w:w="10" w:type="dxa"/>
              <w:right w:w="10" w:type="dxa"/>
            </w:tcMar>
            <w:vAlign w:val="center"/>
          </w:tcPr>
          <w:p w14:paraId="6D07414C">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64E1851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6DCF80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BFC735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155C30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119C5D2">
            <w:pPr>
              <w:jc w:val="center"/>
              <w:rPr>
                <w:rFonts w:hint="default" w:ascii="仿宋_GB2312" w:hAnsi="宋体" w:eastAsia="仿宋_GB2312" w:cs="仿宋_GB2312"/>
                <w:i w:val="0"/>
                <w:iCs w:val="0"/>
                <w:strike w:val="0"/>
                <w:dstrike w:val="0"/>
                <w:color w:val="auto"/>
                <w:sz w:val="21"/>
                <w:szCs w:val="21"/>
                <w:u w:val="none"/>
              </w:rPr>
            </w:pPr>
          </w:p>
        </w:tc>
      </w:tr>
      <w:tr w14:paraId="147F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17" w:hRule="atLeast"/>
        </w:trPr>
        <w:tc>
          <w:tcPr>
            <w:tcW w:w="537" w:type="dxa"/>
            <w:shd w:val="clear" w:color="auto" w:fill="auto"/>
            <w:tcMar>
              <w:top w:w="10" w:type="dxa"/>
              <w:left w:w="10" w:type="dxa"/>
              <w:right w:w="10" w:type="dxa"/>
            </w:tcMar>
            <w:vAlign w:val="center"/>
          </w:tcPr>
          <w:p w14:paraId="62C489F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30 </w:t>
            </w:r>
          </w:p>
        </w:tc>
        <w:tc>
          <w:tcPr>
            <w:tcW w:w="775" w:type="dxa"/>
            <w:shd w:val="clear" w:color="auto" w:fill="auto"/>
            <w:tcMar>
              <w:top w:w="10" w:type="dxa"/>
              <w:left w:w="10" w:type="dxa"/>
              <w:right w:w="10" w:type="dxa"/>
            </w:tcMar>
            <w:vAlign w:val="center"/>
          </w:tcPr>
          <w:p w14:paraId="74F021C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F2DED4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对侵占、毁坏水工程及堤防、护岸等有关设施，毁坏防汛、水文监测、水文地质监测设施，在水工程保护范围内从事影响水工程运行和危害水工程安全的活动等行为的行政处罚</w:t>
            </w:r>
          </w:p>
        </w:tc>
        <w:tc>
          <w:tcPr>
            <w:tcW w:w="548" w:type="dxa"/>
            <w:shd w:val="clear" w:color="auto" w:fill="auto"/>
            <w:tcMar>
              <w:top w:w="10" w:type="dxa"/>
              <w:left w:w="10" w:type="dxa"/>
              <w:right w:w="10" w:type="dxa"/>
            </w:tcMar>
            <w:vAlign w:val="center"/>
          </w:tcPr>
          <w:p w14:paraId="411F800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6E7608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B812BD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4DB97DC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第七十二条 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法，由公安机关依法给予治安管理处罚；给他人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（一）侵占、毁坏水工程及堤防、护岸等有关设施，毁坏防汛、水文监测、水文地质监测设施的；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（二）在水工程保护范围内，从事影响水工程运行和危害水工程安全的爆破、打井、采石、取土等活动的。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任何单位和个人不得破坏、侵占、毁损水库大坝、堤防、水闸、护岸、抽水站、排水渠系等防洪工程和水文、通信设施以及防汛备用的器材、物料等。</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法规定，破坏、侵占、毁损堤防、水闸、护岸、抽水站、排水渠系等防洪工程和水文、通信设施以及防汛备用的器材、物料的，责令停止违法行为，采取补救措施，可以处五万元以下的罚款；造成损坏的，依法承担民事责任；应当给予治安管理处罚的，依照治安管理处罚法的规定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3.【行政法规】《中华人民共和国河道管理条例》（1988年国务院令第3号公布，2018年国务院令第698号第四次修正）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（二）在堤防、护堤地建房、放牧、开渠、打井、挖窖、葬坟、晒粮、存放物料、开采地下资源、进行考古发掘以及开展集市贸易活动的；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第四十五条 违反本条例规定，有下列行为之一的，县级以上地方人民政府河道主管机关除责令其纠正违法行为、赔偿损失、采取补救措施外，可以并处警告、罚款；应当给予治安管理处罚的，按照《中华人民共和国治安管理处罚法》的规定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损毁堤防、护岸、闸坝、水工程建筑物，损毁防汛设施、水文监测和测量设施、河岸地质监测设施以及通信照明等设施；（二）在堤防安全保护区内进行打井、钻探、爆破、挖筑鱼塘、采石、取土等危害堤防安全的活动的；（三）非管理人员操作河道上的涵闸闸门或者干扰河道管理单位正常工作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4.【行政法规】《农田水利条例》（2016年国务院令第669号发布）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第四十四条第一款 违反本条例规定，侵占、损毁农田水利工程设施，以及有危害农田水利工程设施安全的爆破、打井、采石、取土等行为的，依照《中华人民共和国水法》的规定处理。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5.【行政法规】《水库大坝安全管理条例》（1991年国务院令第77号发布，2018年国务院令第698号修订）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违反本条例规定，有下列行为之一的，由大坝主管部门责令其停止违法行为，赔偿损失，采取补救措施，可以并处罚款；应当给予治安管理处罚的，由公安机关依照《中华人民共和国治安管理处罚法》的规定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毁坏大坝或者其观测、通信、动力、照明、交通、消防等管理设施的；（二）在大坝管理和保护范围内进行爆破、打井、采石、采矿、取土、挖沙、修坟等危害大坝安全活动的；（三）擅自操作大坝的泄洪闸门、输水闸门以及其他设施，破坏大坝正常运行的；（五）在坝体修建码头、渠道或者堆放杂物、晾晒粮草的；（六）擅自在大坝管理和保护范围内修建码头、鱼塘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6.【地方性法规】《广西壮族自治区水利工程管理条例》（1987年自治区第六届人民代表大会常务委员会第二十五次会议通过，2016年自治区人民代表大会常务委员会公告12届第63号修正）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第二十八条 禁止在水利工程管理范围内从事下列活动：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破坏、侵占、毁损堤坝、水电站、提水站、灌溉渠系及附属设施、观测设施、变电站、防汛道路；（二）爆破、打井、采石、挖矿、取土；（三）不按照规定操作闸门和拦洪、泄洪、开机、停机；（四）擅自搭建构筑物、垦植、砍伐林木、筑坝拦汊、围库造地、挖渠破闸、挖堤扒口；（五）倾倒、堆放、掩埋垃圾、渣土和废弃物，排放污水、污染物；（六）擅自蓄水、引水、放水、截流；（七）清洗有毒、有污染的车辆和物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违反本条例第二十八条规定，有下列行为之一的，由水行政主管部门责令停止违法行为，采取补救措施，处以罚款：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在水利工程管理范围内破坏、侵占、毁损堤坝、水电站、提水站、灌溉渠系及附属设施、观测设施、变电站、防汛道路或者在水利工程管理范围内爆破、打井、采石、挖矿、取土的，处一万元以上五万元以下的罚款；（二）在水利工程管理范围内不按照规定操作闸门和拦洪、泄洪、开机、停机的，处二千元以上二万元以下的罚款；（三）在水利工程管理范围内擅自搭建构筑物、垦植、筑坝拦汊、围库造地、挖渠破闸、挖堤扒口的，处五千元以上三万元以下的罚款；（四）在水利工程管理范围内倾倒、堆放、掩埋垃圾、渣土和废弃物的，处二千元以上二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有前款违法行为，造成损失的，依法承担赔偿责任；应当给予治安管理处罚的，由公安机关依法处罚；构成犯罪的，依法追究刑事责任。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7.【地方性法规】《广西壮族自治区河道管理规定》（2000年自治区九届人民代表大会常务委员会公告第26号发布，2018年自治区人民代表大会常务委员会公告13届第7号修正）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第八条 在堤防和护堤地内，除不得从事国家有关法律、法规禁止的活动外，禁止在堤身种植农作物、铲草、建窑、钻探爆破、采石、取土等。</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第三十一条 违反《中华人民共和国河道管理条例》第二十二条第一款规定，未经河道主管机关批准，擅自移动或者拆除防汛、水文监测和测量设施、河岸地质监测设施、通讯照明等设施的，河道主管机关可以处一百元以上一千元以下的罚款；情节严重的，可以处一千元以上二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违反《中华人民共和国河道管理条例》第二十五条规定，在河道管理范围内，未经河道主管机关批准，或者未经河道主管机关会同有关部门批准，有下列行为之一的，河道主管机关可以处一百元以上一千元以下的罚款；情节严重的，可以处一千元以上二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（三）在河道滩地存放物料，修建厂房或者其他建筑设施的；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（四）在河道滩地开采地下资源及进行考古发掘的。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违反本规定第八条规定，在堤身种植农作物、铲草、建窑、钻探爆破、采石、取土的，河道主管机关除责令其停止违法行为、采取补救措施外，可以并处警告、一百元以上一千元以下的罚款；情节严重的，可以并处一千元以上二万元以下的罚款；有违法所得的，予以没收。</w:t>
            </w:r>
          </w:p>
        </w:tc>
        <w:tc>
          <w:tcPr>
            <w:tcW w:w="4075" w:type="dxa"/>
            <w:shd w:val="clear" w:color="auto" w:fill="auto"/>
            <w:tcMar>
              <w:top w:w="10" w:type="dxa"/>
              <w:left w:w="10" w:type="dxa"/>
              <w:right w:w="10" w:type="dxa"/>
            </w:tcMar>
            <w:vAlign w:val="center"/>
          </w:tcPr>
          <w:p w14:paraId="68A68F1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3474AAE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83622A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9C8C2C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8A6C23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0E8ACE8">
            <w:pPr>
              <w:jc w:val="center"/>
              <w:rPr>
                <w:rFonts w:hint="default" w:ascii="仿宋_GB2312" w:hAnsi="宋体" w:eastAsia="仿宋_GB2312" w:cs="仿宋_GB2312"/>
                <w:i w:val="0"/>
                <w:iCs w:val="0"/>
                <w:strike w:val="0"/>
                <w:dstrike w:val="0"/>
                <w:color w:val="auto"/>
                <w:sz w:val="21"/>
                <w:szCs w:val="21"/>
                <w:u w:val="none"/>
              </w:rPr>
            </w:pPr>
          </w:p>
        </w:tc>
      </w:tr>
      <w:tr w14:paraId="7B4A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960CD9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31 </w:t>
            </w:r>
          </w:p>
        </w:tc>
        <w:tc>
          <w:tcPr>
            <w:tcW w:w="775" w:type="dxa"/>
            <w:shd w:val="clear" w:color="auto" w:fill="auto"/>
            <w:tcMar>
              <w:top w:w="10" w:type="dxa"/>
              <w:left w:w="10" w:type="dxa"/>
              <w:right w:w="10" w:type="dxa"/>
            </w:tcMar>
            <w:vAlign w:val="center"/>
          </w:tcPr>
          <w:p w14:paraId="41BF676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9DA14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对在农村供水工程保护范围内修建畜禽饲养场、厕所、渗水坑、污水沟渠以及其他影响水质安全的生产、生活设施，或者倾倒、堆放、掩埋垃圾、渣土、粪便等污染物、废弃物行为的行政处罚</w:t>
            </w:r>
          </w:p>
        </w:tc>
        <w:tc>
          <w:tcPr>
            <w:tcW w:w="548" w:type="dxa"/>
            <w:shd w:val="clear" w:color="auto" w:fill="auto"/>
            <w:tcMar>
              <w:top w:w="10" w:type="dxa"/>
              <w:left w:w="10" w:type="dxa"/>
              <w:right w:w="10" w:type="dxa"/>
            </w:tcMar>
            <w:vAlign w:val="center"/>
          </w:tcPr>
          <w:p w14:paraId="43E2868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5785B5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95CB17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5CABD97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1.【地方性法规】《广西壮族自治区农村供水用水条例》（2021年自治区第十三届人民代表大会常务委员会第二十二次会议通过）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违反本条例第十九条第二款第一项、第二项规定，在农村供水工程保护范围内修建畜禽饲养场、厕所、渗水坑、污水沟渠以及其他影响水质安全的生产、生活设施，或者倾倒、堆放、掩埋垃圾、渣土、粪便等污染物、废弃物的，由县级以上人民政府水行政主管部门责令停止违法行为，限期改正或者恢复原状，处二千元以上二万元以下罚款；造成损失的，依法承担赔偿责任。</w:t>
            </w:r>
          </w:p>
        </w:tc>
        <w:tc>
          <w:tcPr>
            <w:tcW w:w="4075" w:type="dxa"/>
            <w:shd w:val="clear" w:color="auto" w:fill="auto"/>
            <w:tcMar>
              <w:top w:w="10" w:type="dxa"/>
              <w:left w:w="10" w:type="dxa"/>
              <w:right w:w="10" w:type="dxa"/>
            </w:tcMar>
            <w:vAlign w:val="center"/>
          </w:tcPr>
          <w:p w14:paraId="71547963">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6CD1B23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CB45B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1B1F69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F5183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78DA9BD">
            <w:pPr>
              <w:jc w:val="center"/>
              <w:rPr>
                <w:rFonts w:hint="default" w:ascii="仿宋_GB2312" w:hAnsi="宋体" w:eastAsia="仿宋_GB2312" w:cs="仿宋_GB2312"/>
                <w:i w:val="0"/>
                <w:iCs w:val="0"/>
                <w:strike w:val="0"/>
                <w:dstrike w:val="0"/>
                <w:color w:val="auto"/>
                <w:sz w:val="21"/>
                <w:szCs w:val="21"/>
                <w:u w:val="none"/>
              </w:rPr>
            </w:pPr>
          </w:p>
        </w:tc>
      </w:tr>
      <w:tr w14:paraId="4DE6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414F53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32 </w:t>
            </w:r>
          </w:p>
        </w:tc>
        <w:tc>
          <w:tcPr>
            <w:tcW w:w="775" w:type="dxa"/>
            <w:shd w:val="clear" w:color="auto" w:fill="auto"/>
            <w:tcMar>
              <w:top w:w="10" w:type="dxa"/>
              <w:left w:w="10" w:type="dxa"/>
              <w:right w:w="10" w:type="dxa"/>
            </w:tcMar>
            <w:vAlign w:val="center"/>
          </w:tcPr>
          <w:p w14:paraId="4CFAB85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C38A2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对生产或者使用有毒有害物质的单位将其生产用水管网系统与农村供水管网系统直接连接行为的行政处罚</w:t>
            </w:r>
          </w:p>
        </w:tc>
        <w:tc>
          <w:tcPr>
            <w:tcW w:w="548" w:type="dxa"/>
            <w:shd w:val="clear" w:color="auto" w:fill="auto"/>
            <w:tcMar>
              <w:top w:w="10" w:type="dxa"/>
              <w:left w:w="10" w:type="dxa"/>
              <w:right w:w="10" w:type="dxa"/>
            </w:tcMar>
            <w:vAlign w:val="center"/>
          </w:tcPr>
          <w:p w14:paraId="697467A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193AB2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E1F80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2AF56B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1.【地方性法规】《广西壮族自治区农村供水用水条例》（2021年自治区第十三届人民代表大会常务委员会第二十二次会议通过）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违反本条例第二十八条第二款规定，产生或者使用有毒有害物质的单位将其生产用水管网系统与农村供水管网系统直接连接的，由县级以上人民政府水行政主管部门责令改正，可以处二千元以上二万元以下罚款；造成损失的，依法承担赔偿责任。</w:t>
            </w:r>
          </w:p>
        </w:tc>
        <w:tc>
          <w:tcPr>
            <w:tcW w:w="4075" w:type="dxa"/>
            <w:shd w:val="clear" w:color="auto" w:fill="auto"/>
            <w:tcMar>
              <w:top w:w="10" w:type="dxa"/>
              <w:left w:w="10" w:type="dxa"/>
              <w:right w:w="10" w:type="dxa"/>
            </w:tcMar>
            <w:vAlign w:val="center"/>
          </w:tcPr>
          <w:p w14:paraId="5144717A">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00450C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F3C0A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FA08B1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A14CD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BA04A16">
            <w:pPr>
              <w:jc w:val="center"/>
              <w:rPr>
                <w:rFonts w:hint="default" w:ascii="仿宋_GB2312" w:hAnsi="宋体" w:eastAsia="仿宋_GB2312" w:cs="仿宋_GB2312"/>
                <w:i w:val="0"/>
                <w:iCs w:val="0"/>
                <w:strike w:val="0"/>
                <w:dstrike w:val="0"/>
                <w:color w:val="auto"/>
                <w:sz w:val="21"/>
                <w:szCs w:val="21"/>
                <w:u w:val="none"/>
              </w:rPr>
            </w:pPr>
          </w:p>
        </w:tc>
      </w:tr>
      <w:tr w14:paraId="6C4F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439404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33 </w:t>
            </w:r>
          </w:p>
        </w:tc>
        <w:tc>
          <w:tcPr>
            <w:tcW w:w="775" w:type="dxa"/>
            <w:shd w:val="clear" w:color="auto" w:fill="auto"/>
            <w:tcMar>
              <w:top w:w="10" w:type="dxa"/>
              <w:left w:w="10" w:type="dxa"/>
              <w:right w:w="10" w:type="dxa"/>
            </w:tcMar>
            <w:vAlign w:val="center"/>
          </w:tcPr>
          <w:p w14:paraId="39C76AE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000F8C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对擅自停止供水或未履行停止供水通知义务，擅自退出供水运营，盗用供水、擅自向其他单位和个人转供水，或者在集中供水工程公共管网上直接装泵抽水、安装影响正常供水的其他设施行为的行政处罚</w:t>
            </w:r>
          </w:p>
        </w:tc>
        <w:tc>
          <w:tcPr>
            <w:tcW w:w="548" w:type="dxa"/>
            <w:shd w:val="clear" w:color="auto" w:fill="auto"/>
            <w:tcMar>
              <w:top w:w="10" w:type="dxa"/>
              <w:left w:w="10" w:type="dxa"/>
              <w:right w:w="10" w:type="dxa"/>
            </w:tcMar>
            <w:vAlign w:val="center"/>
          </w:tcPr>
          <w:p w14:paraId="0CB04CB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DF8E2A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C522BD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4017CEB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1.【地方性法规】《广西壮族自治区农村供水用水条例》（2021年自治区第十三届人民代表大会常务委员会第二十二次会议通过）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违反本条例规定，有下列情形之一的，由县级以上人民政府水行政主管部门责令改正，可以处五百元以上五千元以下罚款；造成损失的，依法承担赔偿责任：（一）违反本条例第三十一条规定，擅自停止供水或者未履行停止供水通知义务；（二）违反本条例第三十二条固定，擅自退出供水运营；（三）违反本条例第三十三条第二款规定，盗用供水、擅自向其他单位和个人转供水，或者在集中供水工程公共管网上直接装泵抽水、安装影响正常供水的其他设施。</w:t>
            </w:r>
          </w:p>
        </w:tc>
        <w:tc>
          <w:tcPr>
            <w:tcW w:w="4075" w:type="dxa"/>
            <w:shd w:val="clear" w:color="auto" w:fill="auto"/>
            <w:tcMar>
              <w:top w:w="10" w:type="dxa"/>
              <w:left w:w="10" w:type="dxa"/>
              <w:right w:w="10" w:type="dxa"/>
            </w:tcMar>
            <w:vAlign w:val="center"/>
          </w:tcPr>
          <w:p w14:paraId="49360648">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0049AB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5FE991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BB8691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307A44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8DB0277">
            <w:pPr>
              <w:jc w:val="center"/>
              <w:rPr>
                <w:rFonts w:hint="default" w:ascii="仿宋_GB2312" w:hAnsi="宋体" w:eastAsia="仿宋_GB2312" w:cs="仿宋_GB2312"/>
                <w:i w:val="0"/>
                <w:iCs w:val="0"/>
                <w:strike w:val="0"/>
                <w:dstrike w:val="0"/>
                <w:color w:val="auto"/>
                <w:sz w:val="21"/>
                <w:szCs w:val="21"/>
                <w:u w:val="none"/>
              </w:rPr>
            </w:pPr>
          </w:p>
        </w:tc>
      </w:tr>
      <w:tr w14:paraId="673A6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26400A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34 </w:t>
            </w:r>
          </w:p>
        </w:tc>
        <w:tc>
          <w:tcPr>
            <w:tcW w:w="775" w:type="dxa"/>
            <w:shd w:val="clear" w:color="auto" w:fill="auto"/>
            <w:tcMar>
              <w:top w:w="10" w:type="dxa"/>
              <w:left w:w="10" w:type="dxa"/>
              <w:right w:w="10" w:type="dxa"/>
            </w:tcMar>
            <w:vAlign w:val="center"/>
          </w:tcPr>
          <w:p w14:paraId="4A8E956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51D5B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对擅自占用农业灌溉水源、农田水利工程设施，堆放阻碍农田水利工程设施蓄水、输水、排水物体等行为的行政处罚</w:t>
            </w:r>
          </w:p>
        </w:tc>
        <w:tc>
          <w:tcPr>
            <w:tcW w:w="548" w:type="dxa"/>
            <w:shd w:val="clear" w:color="auto" w:fill="auto"/>
            <w:tcMar>
              <w:top w:w="10" w:type="dxa"/>
              <w:left w:w="10" w:type="dxa"/>
              <w:right w:w="10" w:type="dxa"/>
            </w:tcMar>
            <w:vAlign w:val="center"/>
          </w:tcPr>
          <w:p w14:paraId="6FDF7D9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C395E6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C9A12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农村水利水电科 </w:t>
            </w:r>
          </w:p>
        </w:tc>
        <w:tc>
          <w:tcPr>
            <w:tcW w:w="2789" w:type="dxa"/>
            <w:shd w:val="clear" w:color="auto" w:fill="auto"/>
            <w:tcMar>
              <w:top w:w="10" w:type="dxa"/>
              <w:left w:w="10" w:type="dxa"/>
              <w:right w:w="10" w:type="dxa"/>
            </w:tcMar>
            <w:vAlign w:val="center"/>
          </w:tcPr>
          <w:p w14:paraId="4895407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1.【行政法规】《农田水利条例》（2016年国务院令第669号发布）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违反本条例规定，有下列行为之一的，由县级以上地方人民政府水行政主管部门责令停止违法行为，限期恢复原状或者采取补救措施；逾期不恢复原状或者采取补救措施的，依法强制执行；造成损失的，依法承担民事 责任；构成违反治安管理行为的，依法给予治安管理处罚；构成犯罪的，依法追究刑事责任：（一）堆放阻碍农田水利工程设施蓄水、输水、排水的物体；（二）建设妨碍农田水利工程设施蓄水、输水、排水的建筑物和构筑物；（三）擅自占用农业灌溉水源、农田水利工程设施。</w:t>
            </w:r>
          </w:p>
        </w:tc>
        <w:tc>
          <w:tcPr>
            <w:tcW w:w="4075" w:type="dxa"/>
            <w:shd w:val="clear" w:color="auto" w:fill="auto"/>
            <w:tcMar>
              <w:top w:w="10" w:type="dxa"/>
              <w:left w:w="10" w:type="dxa"/>
              <w:right w:w="10" w:type="dxa"/>
            </w:tcMar>
            <w:vAlign w:val="center"/>
          </w:tcPr>
          <w:p w14:paraId="645B91F5">
            <w:pPr>
              <w:keepNext w:val="0"/>
              <w:keepLines w:val="0"/>
              <w:widowControl/>
              <w:suppressLineNumbers w:val="0"/>
              <w:spacing w:after="210" w:afterAutospacing="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8.其他法律法规规章文件规定应履行的责任。（农村水利水电科）</w:t>
            </w:r>
          </w:p>
        </w:tc>
        <w:tc>
          <w:tcPr>
            <w:tcW w:w="8460" w:type="dxa"/>
            <w:shd w:val="clear" w:color="auto" w:fill="auto"/>
            <w:tcMar>
              <w:top w:w="10" w:type="dxa"/>
              <w:left w:w="10" w:type="dxa"/>
              <w:right w:w="10" w:type="dxa"/>
            </w:tcMar>
            <w:vAlign w:val="center"/>
          </w:tcPr>
          <w:p w14:paraId="3AB05CF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2B8199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ABC5D1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36A565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740BD74">
            <w:pPr>
              <w:jc w:val="center"/>
              <w:rPr>
                <w:rFonts w:hint="default" w:ascii="仿宋_GB2312" w:hAnsi="宋体" w:eastAsia="仿宋_GB2312" w:cs="仿宋_GB2312"/>
                <w:i w:val="0"/>
                <w:iCs w:val="0"/>
                <w:strike w:val="0"/>
                <w:dstrike w:val="0"/>
                <w:color w:val="auto"/>
                <w:sz w:val="21"/>
                <w:szCs w:val="21"/>
                <w:u w:val="none"/>
              </w:rPr>
            </w:pPr>
          </w:p>
        </w:tc>
      </w:tr>
      <w:tr w14:paraId="0775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237AA8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35 </w:t>
            </w:r>
          </w:p>
        </w:tc>
        <w:tc>
          <w:tcPr>
            <w:tcW w:w="775" w:type="dxa"/>
            <w:shd w:val="clear" w:color="auto" w:fill="auto"/>
            <w:tcMar>
              <w:top w:w="10" w:type="dxa"/>
              <w:left w:w="10" w:type="dxa"/>
              <w:right w:w="10" w:type="dxa"/>
            </w:tcMar>
            <w:vAlign w:val="center"/>
          </w:tcPr>
          <w:p w14:paraId="5243B43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426C1B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对在江河、湖泊、水库、运河、渠道内弃置、堆放阻碍行洪的物体和种植阻碍行洪的林木及高秆作物，围湖造地或者未经批准围垦河道等行为的行政处罚</w:t>
            </w:r>
          </w:p>
        </w:tc>
        <w:tc>
          <w:tcPr>
            <w:tcW w:w="548" w:type="dxa"/>
            <w:shd w:val="clear" w:color="auto" w:fill="auto"/>
            <w:tcMar>
              <w:top w:w="10" w:type="dxa"/>
              <w:left w:w="10" w:type="dxa"/>
              <w:right w:w="10" w:type="dxa"/>
            </w:tcMar>
            <w:vAlign w:val="center"/>
          </w:tcPr>
          <w:p w14:paraId="7B91240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D56F7E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DA46CA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353FBE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第六十六条 有下列行为之一，且防洪法未作规定的，由县级以上人民政府水行政主管部门或者流域管理机构依据职权，责令停止违法行为，限期清除障碍或者采取其他补救措施，处一万元以上五万元以下的罚款：（一）在江河、湖泊、水库、运河、渠道内弃置、堆放阻碍行洪的物体和种植阻碍行洪的林木及高秆作物的；（二）围湖造地或者未经批准围垦河道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第十五条 国务院水行政主管部门应当会同有关部门和省、自治区、直辖市人民政府制定长江、黄河、珠江、辽河、淮河、海河入海河口的整治规划。</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在前款入海河口围海造地，应当符合河口整治规划。</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第二十二条第二款、第三款 禁止在河道、湖泊管理范围内建设妨碍行洪的建筑物、构筑物，倾倒垃圾、渣土，从事影响河势稳定、危害河岸堤防安全和其他妨碍河道行洪的活动。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禁止在行洪河道内种植阻碍行洪的林木和高秆作物。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第二十三条 禁止围湖造地。已经围垦的，应当按照国家规定的防洪标准进行治理，有计划地退地还湖。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禁止围垦河道。确需围垦的，应当进行科学论证，经水行政主管部门确认不妨碍行洪、输水后，报省级以上人民政府批准。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违反本法第二十二条第二款、第三款规定，有下列行为之一的，责令停止违法行为，排除阻碍或者采取其他补救措施，可以处五万元以下的罚款：（二）在河道、湖泊管理范围内倾倒垃圾、渣土，从事影响河势稳定、危害河岸堤防安全和其他妨碍河道行洪的活动的；（三）在行洪河道内种植阻碍行洪的林木和高秆作物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违反本法第十五条第二款、第二十三条规定，围海造地、围湖造地、围垦河道的，责令停止违法行为，恢复原状或者采取其他补救措施，可以处五万元以下的罚款；既不恢复原状也不采取其他补救措施的，代为恢复原状或者采取其他补救措施，所需费用由违法者承担。</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除本法第五十九条的规定外，本章规定的行政处罚和行政措施，由县级以上人民政府水行政主管部门决定，或者由流域管理机构按照国务院水行政主管部门规定的权限决定。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3.【行政法规】《中华人民共和国河道管理条例》（1988年国务院令第3号公布，2018年国务院令第698号第四次修正）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第二十四条 在河道管理范围内，禁止修建围堤、阻水渠道、阻水道路；种植高杆农作物、芦苇、杞柳、荻柴和树木（堤防防护林除外）；设置拦河渔具；弃置矿渣、石渣、煤灰、泥土、垃圾等。</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在堤防和护堤地，禁止建房、放牧、开渠、打井、挖窖、葬坟、晒粮、存放物料、开采地下资源、进行考古发掘以及开展集市贸易活动。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禁止围湖造田。已经围垦的，应当按照国家规定的防洪标准进行治理，逐步退田还湖。湖泊的开发利用规划必须经河道主管机关审查同意。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一）在河道管理范围内弃置、堆放阻碍行洪物体的；种植阻碍行洪的林木或者高秆植物的；修建围堤、阻水渠道、阻水道路的；（五）未经批准在河道滩地存放物料、修建厂房或者其他建筑设施，以及开采地下资源或者进行考古发掘的；（六）违反本条例第二十七条的规定，围垦湖泊、河流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4.【行政法规】《水库大坝安全管理条例》（1991年国务院令第77号发布，2018年国务院令第698号修订）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违反本条例规定，有下列行为之一的，由大坝主管部门责令其停止违法行为，赔偿损失，采取补救  措施，可以并处罚款；应当给予治安管理处罚的，由公安机关依照《中华人民共和国治安管理处罚法》的规定处罚；构成犯罪的，依法追究刑事责任：（四）在库区内围垦的。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5.【地方性法规】《广西壮族自治区河道管理规定》（2000年自治区九届人民代表大会常务委员会公告第26号发布，2018年自治区人民代表大会常务委员会公告13届第7号修正）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第十条 禁止擅自填堵河道。确因建设需要填堵河道的，建设单位应当委托具有相应资质的水利规划设计单位进行规划论证，并报县级以上人民政府批准。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填堵河道需要实施水系调整的，所需经费由建设单位承担。</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经批准填堵河道的，建设单位在施工前，应当按照本规定第十八条的规定办理施工审核手续。</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第十一条 确因工程建设需要，在沿河堤防破堤施工或者开缺、凿洞的，建设单位应当向河道主管机关提出申请，经审核同意后方可施工。跨汛期的工程施工，建设单位必须落实汛期安全措施。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第二十五条 市、县以河道为边界的，在河道两岸外侧5公里以内，以及跨市、县的河道，未经有关各方达成协议或者上一级河道主管机关批准，禁止单方面修建排水、阻水、引水、蓄水工程及河道整治工程。</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第三十三条 违反《中华人民共和国河道管理条例》第二十四条规定，在河道管理范围内，擅自修建围堤、阻水渠道、阻水道路或者种植高秆作物和林木（堤防防护林除外）的，或者在堤防和护堤地建房、放牧、开渠、打井、挖窖、葬坟、晒粮、存放物料、开采地下资源、进行考古发掘以及开展集市活动的，河道主管机关可以处一百元以上一千元以下的罚款；情节严重的，可以处一千元以上二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违反本规定第十条、第十一条、第二十五条规定，有下列行为之一的，由河道主管机关责令停止违法行为，可以处警告、一百元以上一千元以下的罚款；情节严重的，可以处一千元以上二万元以下的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（一）未经县级以上人民政府批准，擅自填堵河道的；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（二）建设单位未向河道主管机关提出申请并经审核同意，擅自在沿河堤防破堤施工或者开缺、凿洞的；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（三）未经有关各方面达成协议或者上一级河道主管机关批准，单方面在市、县的边界河道两岸外侧5公里以内以及跨市、县的河道修建排水、阻水、引水、蓄水工程及河道整治的。</w:t>
            </w:r>
          </w:p>
        </w:tc>
        <w:tc>
          <w:tcPr>
            <w:tcW w:w="4075" w:type="dxa"/>
            <w:shd w:val="clear" w:color="auto" w:fill="auto"/>
            <w:tcMar>
              <w:top w:w="10" w:type="dxa"/>
              <w:left w:w="10" w:type="dxa"/>
              <w:right w:w="10" w:type="dxa"/>
            </w:tcMar>
            <w:vAlign w:val="center"/>
          </w:tcPr>
          <w:p w14:paraId="6ED7F36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7A07BD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60CD66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CA7AEB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D33F60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0F8F276">
            <w:pPr>
              <w:jc w:val="center"/>
              <w:rPr>
                <w:rFonts w:hint="default" w:ascii="仿宋_GB2312" w:hAnsi="宋体" w:eastAsia="仿宋_GB2312" w:cs="仿宋_GB2312"/>
                <w:i w:val="0"/>
                <w:iCs w:val="0"/>
                <w:strike w:val="0"/>
                <w:dstrike w:val="0"/>
                <w:color w:val="auto"/>
                <w:sz w:val="21"/>
                <w:szCs w:val="21"/>
                <w:u w:val="none"/>
              </w:rPr>
            </w:pPr>
          </w:p>
        </w:tc>
      </w:tr>
      <w:tr w14:paraId="749D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B9A807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36 </w:t>
            </w:r>
          </w:p>
        </w:tc>
        <w:tc>
          <w:tcPr>
            <w:tcW w:w="775" w:type="dxa"/>
            <w:shd w:val="clear" w:color="auto" w:fill="auto"/>
            <w:tcMar>
              <w:top w:w="10" w:type="dxa"/>
              <w:left w:w="10" w:type="dxa"/>
              <w:right w:w="10" w:type="dxa"/>
            </w:tcMar>
            <w:vAlign w:val="center"/>
          </w:tcPr>
          <w:p w14:paraId="3E5B163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689F2B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对在崩塌、滑坡危险区或者泥石流易发区从事取土、挖砂、采石等可能造成水土流失活动行为的行政处罚</w:t>
            </w:r>
          </w:p>
        </w:tc>
        <w:tc>
          <w:tcPr>
            <w:tcW w:w="548" w:type="dxa"/>
            <w:shd w:val="clear" w:color="auto" w:fill="auto"/>
            <w:tcMar>
              <w:top w:w="10" w:type="dxa"/>
              <w:left w:w="10" w:type="dxa"/>
              <w:right w:w="10" w:type="dxa"/>
            </w:tcMar>
            <w:vAlign w:val="center"/>
          </w:tcPr>
          <w:p w14:paraId="474B3C6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017945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012D7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54128CC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第四十八条 违反本法规定，在崩塌、滑坡危险区或者泥石流易发区从事取土、挖砂、采石等可能造成水土流失的活动的，由县级以上地方人民政府水行政主管部门责令停止违法行为，没收违法所得，对个人处一千元以上一万元以下的罚款，对单位处二万元以上二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2.【地方性法规】《广西壮族自治区实施《中华人民共和国水土保持法〉办法》（1994年广西壮族自治区第八届人民代表大会常务委员会第八次会议通过，2014年修订）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第十六条 违反本办法第八条第三款规定在崩塌、滑坡危险区或者泥石流易发区从事取土、挖砂、采石等可能造成水土流失的活动的，由县级以上人民政府水行政主管部门责令停止违法行为，有违法所得的，没收违法所得，并按照下列规定予以处罚：（一）个人取土、挖砂或者采石十立方米以下的处一千元的罚款，十立方米以上五十立方米以下的处一千元以上五千元以下的罚款，五十立方米以上的处五千元以上一万元以下的罚款；（二）单位取土、挖砂或者采石十立方米以下的处二万元的罚款，十立方米以上五十立方米以下的处二万元以上十万元以下的罚款，五十立方米以上的处十万元以上二十万元以下的罚款。</w:t>
            </w:r>
          </w:p>
        </w:tc>
        <w:tc>
          <w:tcPr>
            <w:tcW w:w="4075" w:type="dxa"/>
            <w:shd w:val="clear" w:color="auto" w:fill="auto"/>
            <w:tcMar>
              <w:top w:w="10" w:type="dxa"/>
              <w:left w:w="10" w:type="dxa"/>
              <w:right w:w="10" w:type="dxa"/>
            </w:tcMar>
            <w:vAlign w:val="center"/>
          </w:tcPr>
          <w:p w14:paraId="7736F5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60531E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12045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4E78F3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E8AB1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D2E40FC">
            <w:pPr>
              <w:jc w:val="center"/>
              <w:rPr>
                <w:rFonts w:hint="default" w:ascii="仿宋_GB2312" w:hAnsi="宋体" w:eastAsia="仿宋_GB2312" w:cs="仿宋_GB2312"/>
                <w:i w:val="0"/>
                <w:iCs w:val="0"/>
                <w:strike w:val="0"/>
                <w:dstrike w:val="0"/>
                <w:color w:val="auto"/>
                <w:sz w:val="21"/>
                <w:szCs w:val="21"/>
                <w:u w:val="none"/>
              </w:rPr>
            </w:pPr>
          </w:p>
        </w:tc>
      </w:tr>
      <w:tr w14:paraId="2B99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53E506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37 </w:t>
            </w:r>
          </w:p>
        </w:tc>
        <w:tc>
          <w:tcPr>
            <w:tcW w:w="775" w:type="dxa"/>
            <w:shd w:val="clear" w:color="auto" w:fill="auto"/>
            <w:tcMar>
              <w:top w:w="10" w:type="dxa"/>
              <w:left w:w="10" w:type="dxa"/>
              <w:right w:w="10" w:type="dxa"/>
            </w:tcMar>
            <w:vAlign w:val="center"/>
          </w:tcPr>
          <w:p w14:paraId="7E53B73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F795F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对在禁止开垦坡度以上陡坡地开垦种植农作物，或者在禁止开垦、开发的植物保护带内开垦、开发行为的行政处罚</w:t>
            </w:r>
          </w:p>
        </w:tc>
        <w:tc>
          <w:tcPr>
            <w:tcW w:w="548" w:type="dxa"/>
            <w:shd w:val="clear" w:color="auto" w:fill="auto"/>
            <w:tcMar>
              <w:top w:w="10" w:type="dxa"/>
              <w:left w:w="10" w:type="dxa"/>
              <w:right w:w="10" w:type="dxa"/>
            </w:tcMar>
            <w:vAlign w:val="center"/>
          </w:tcPr>
          <w:p w14:paraId="441461D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7BA20B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83F16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2E44D2B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违反本法规定，在禁止开垦坡度以上陡坡地开垦种植农作物，或者在禁止开垦、开发的植物保护带内开垦、开发的，由县级以上地方人民政府水行政主管部门责令停止违法行为，采取退耕、恢复植被等补救措施；按照开垦或者开发面积，可以对个人处每平方米二元以下的罚款、对单位处每平方米十元以下的罚款。</w:t>
            </w:r>
          </w:p>
        </w:tc>
        <w:tc>
          <w:tcPr>
            <w:tcW w:w="4075" w:type="dxa"/>
            <w:shd w:val="clear" w:color="auto" w:fill="auto"/>
            <w:tcMar>
              <w:top w:w="10" w:type="dxa"/>
              <w:left w:w="10" w:type="dxa"/>
              <w:right w:w="10" w:type="dxa"/>
            </w:tcMar>
            <w:vAlign w:val="center"/>
          </w:tcPr>
          <w:p w14:paraId="418E55D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6FAFDD1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D7DBAB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F7E8E1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0D23CC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8A6C8A5">
            <w:pPr>
              <w:jc w:val="center"/>
              <w:rPr>
                <w:rFonts w:hint="default" w:ascii="仿宋_GB2312" w:hAnsi="宋体" w:eastAsia="仿宋_GB2312" w:cs="仿宋_GB2312"/>
                <w:i w:val="0"/>
                <w:iCs w:val="0"/>
                <w:strike w:val="0"/>
                <w:dstrike w:val="0"/>
                <w:color w:val="auto"/>
                <w:sz w:val="21"/>
                <w:szCs w:val="21"/>
                <w:u w:val="none"/>
              </w:rPr>
            </w:pPr>
          </w:p>
        </w:tc>
      </w:tr>
      <w:tr w14:paraId="4284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07B0E2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38 </w:t>
            </w:r>
          </w:p>
        </w:tc>
        <w:tc>
          <w:tcPr>
            <w:tcW w:w="775" w:type="dxa"/>
            <w:shd w:val="clear" w:color="auto" w:fill="auto"/>
            <w:tcMar>
              <w:top w:w="10" w:type="dxa"/>
              <w:left w:w="10" w:type="dxa"/>
              <w:right w:w="10" w:type="dxa"/>
            </w:tcMar>
            <w:vAlign w:val="center"/>
          </w:tcPr>
          <w:p w14:paraId="221C0EC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AA8E2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对采集发菜，或者在水土流失重点预防区和重点治理区铲草皮、挖树兜、滥挖虫草、甘草、麻黄等行为的行政处罚</w:t>
            </w:r>
          </w:p>
        </w:tc>
        <w:tc>
          <w:tcPr>
            <w:tcW w:w="548" w:type="dxa"/>
            <w:shd w:val="clear" w:color="auto" w:fill="auto"/>
            <w:tcMar>
              <w:top w:w="10" w:type="dxa"/>
              <w:left w:w="10" w:type="dxa"/>
              <w:right w:w="10" w:type="dxa"/>
            </w:tcMar>
            <w:vAlign w:val="center"/>
          </w:tcPr>
          <w:p w14:paraId="0E2A11E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C58A93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CB31E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2F2B44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第五十一条 违反本法规定，采集发菜，或者在水土流失重点预防区和重点治理区铲草皮、挖树兜、滥挖虫草、甘草、麻黄等的，由县级以上地方人民政府水行政主管部门责令停止违法行为，采取补救措施，没收违法所得，并处违法所得一倍以上五倍以下的罚款；没有违法所得的，可以处五万元以下的罚款。</w:t>
            </w:r>
          </w:p>
        </w:tc>
        <w:tc>
          <w:tcPr>
            <w:tcW w:w="4075" w:type="dxa"/>
            <w:shd w:val="clear" w:color="auto" w:fill="auto"/>
            <w:tcMar>
              <w:top w:w="10" w:type="dxa"/>
              <w:left w:w="10" w:type="dxa"/>
              <w:right w:w="10" w:type="dxa"/>
            </w:tcMar>
            <w:vAlign w:val="center"/>
          </w:tcPr>
          <w:p w14:paraId="5355303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0C5834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A867A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D50CD8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D1A4A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3C48DEA">
            <w:pPr>
              <w:jc w:val="center"/>
              <w:rPr>
                <w:rFonts w:hint="default" w:ascii="仿宋_GB2312" w:hAnsi="宋体" w:eastAsia="仿宋_GB2312" w:cs="仿宋_GB2312"/>
                <w:i w:val="0"/>
                <w:iCs w:val="0"/>
                <w:strike w:val="0"/>
                <w:dstrike w:val="0"/>
                <w:color w:val="auto"/>
                <w:sz w:val="21"/>
                <w:szCs w:val="21"/>
                <w:u w:val="none"/>
              </w:rPr>
            </w:pPr>
          </w:p>
        </w:tc>
      </w:tr>
      <w:tr w14:paraId="345A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E77E13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39 </w:t>
            </w:r>
          </w:p>
        </w:tc>
        <w:tc>
          <w:tcPr>
            <w:tcW w:w="775" w:type="dxa"/>
            <w:shd w:val="clear" w:color="auto" w:fill="auto"/>
            <w:tcMar>
              <w:top w:w="10" w:type="dxa"/>
              <w:left w:w="10" w:type="dxa"/>
              <w:right w:w="10" w:type="dxa"/>
            </w:tcMar>
            <w:vAlign w:val="center"/>
          </w:tcPr>
          <w:p w14:paraId="4849A0F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EB651C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对在林区采伐林木不依法采取防止水土流失措施，造成水土流失的行政处罚</w:t>
            </w:r>
          </w:p>
        </w:tc>
        <w:tc>
          <w:tcPr>
            <w:tcW w:w="548" w:type="dxa"/>
            <w:shd w:val="clear" w:color="auto" w:fill="auto"/>
            <w:tcMar>
              <w:top w:w="10" w:type="dxa"/>
              <w:left w:w="10" w:type="dxa"/>
              <w:right w:w="10" w:type="dxa"/>
            </w:tcMar>
            <w:vAlign w:val="center"/>
          </w:tcPr>
          <w:p w14:paraId="22675CF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83F977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DD6C6E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5E8BDC6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第五十二条 在林区采伐林木不依法采取防止水土流失措施的，由县级以上地方人民政府林业主管部门、水行政主管部门责令限期改正，采取补救措施；造成水土流失的，由水行政主管部门按照造成水土流失的面积处每平方米二元以上十元以下的罚款。</w:t>
            </w:r>
          </w:p>
        </w:tc>
        <w:tc>
          <w:tcPr>
            <w:tcW w:w="4075" w:type="dxa"/>
            <w:shd w:val="clear" w:color="auto" w:fill="auto"/>
            <w:tcMar>
              <w:top w:w="10" w:type="dxa"/>
              <w:left w:w="10" w:type="dxa"/>
              <w:right w:w="10" w:type="dxa"/>
            </w:tcMar>
            <w:vAlign w:val="center"/>
          </w:tcPr>
          <w:p w14:paraId="4165EFB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281468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E431D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B68CC0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ACE2A4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A30844B">
            <w:pPr>
              <w:jc w:val="center"/>
              <w:rPr>
                <w:rFonts w:hint="default" w:ascii="仿宋_GB2312" w:hAnsi="宋体" w:eastAsia="仿宋_GB2312" w:cs="仿宋_GB2312"/>
                <w:i w:val="0"/>
                <w:iCs w:val="0"/>
                <w:strike w:val="0"/>
                <w:dstrike w:val="0"/>
                <w:color w:val="auto"/>
                <w:sz w:val="21"/>
                <w:szCs w:val="21"/>
                <w:u w:val="none"/>
              </w:rPr>
            </w:pPr>
          </w:p>
        </w:tc>
      </w:tr>
      <w:tr w14:paraId="2841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5AE736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40 </w:t>
            </w:r>
          </w:p>
        </w:tc>
        <w:tc>
          <w:tcPr>
            <w:tcW w:w="775" w:type="dxa"/>
            <w:shd w:val="clear" w:color="auto" w:fill="auto"/>
            <w:tcMar>
              <w:top w:w="10" w:type="dxa"/>
              <w:left w:w="10" w:type="dxa"/>
              <w:right w:w="10" w:type="dxa"/>
            </w:tcMar>
            <w:vAlign w:val="center"/>
          </w:tcPr>
          <w:p w14:paraId="5555CAB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7404A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对依法应当编制水土保持方案的生产建设项目，未编制水土保持方案或者编制的水土保持方案未经批准而开工建设等行为的行政处罚</w:t>
            </w:r>
          </w:p>
        </w:tc>
        <w:tc>
          <w:tcPr>
            <w:tcW w:w="548" w:type="dxa"/>
            <w:shd w:val="clear" w:color="auto" w:fill="auto"/>
            <w:tcMar>
              <w:top w:w="10" w:type="dxa"/>
              <w:left w:w="10" w:type="dxa"/>
              <w:right w:w="10" w:type="dxa"/>
            </w:tcMar>
            <w:vAlign w:val="center"/>
          </w:tcPr>
          <w:p w14:paraId="1AF7CE3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5DE210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290FFC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0D45AD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 违反本法规定，有下列行为之一的，由县级以上人民政府水行政主管部门责令停止违法行为，限期补办手续；逾期不补办手续的，处五万元以上五十万元以下的罚款；对生产建设单位直接负责的主管人员和其他直接责任人员依法给予处分：（一）依法应当编制水土保持方案的生产建设项目，未编制水土保持方案或者编制的水土保持方案未经批准而开工建设的；（二）生产建设项目的地点、规模发生重大变化，未补充、修改水土保持方案或者补充、修改的水土保持方案未经原审批机关批准的；（三）水土保持方案实施过程中，未经原审批机关批准，对水土保持措施作出重大变更的</w:t>
            </w:r>
          </w:p>
        </w:tc>
        <w:tc>
          <w:tcPr>
            <w:tcW w:w="4075" w:type="dxa"/>
            <w:shd w:val="clear" w:color="auto" w:fill="auto"/>
            <w:tcMar>
              <w:top w:w="10" w:type="dxa"/>
              <w:left w:w="10" w:type="dxa"/>
              <w:right w:w="10" w:type="dxa"/>
            </w:tcMar>
            <w:vAlign w:val="center"/>
          </w:tcPr>
          <w:p w14:paraId="0B8D25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547A34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D9BC5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2BD4A2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807CB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6CF3C4C">
            <w:pPr>
              <w:jc w:val="center"/>
              <w:rPr>
                <w:rFonts w:hint="default" w:ascii="仿宋_GB2312" w:hAnsi="宋体" w:eastAsia="仿宋_GB2312" w:cs="仿宋_GB2312"/>
                <w:i w:val="0"/>
                <w:iCs w:val="0"/>
                <w:strike w:val="0"/>
                <w:dstrike w:val="0"/>
                <w:color w:val="auto"/>
                <w:sz w:val="21"/>
                <w:szCs w:val="21"/>
                <w:u w:val="none"/>
              </w:rPr>
            </w:pPr>
          </w:p>
        </w:tc>
      </w:tr>
      <w:tr w14:paraId="4224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04291E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41 </w:t>
            </w:r>
          </w:p>
        </w:tc>
        <w:tc>
          <w:tcPr>
            <w:tcW w:w="775" w:type="dxa"/>
            <w:shd w:val="clear" w:color="auto" w:fill="auto"/>
            <w:tcMar>
              <w:top w:w="10" w:type="dxa"/>
              <w:left w:w="10" w:type="dxa"/>
              <w:right w:w="10" w:type="dxa"/>
            </w:tcMar>
            <w:vAlign w:val="center"/>
          </w:tcPr>
          <w:p w14:paraId="49D8D6A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537EF7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对水土保持设施未经验收或者验收不合格，将生产建设项目投产使用行为的行政处罚</w:t>
            </w:r>
          </w:p>
        </w:tc>
        <w:tc>
          <w:tcPr>
            <w:tcW w:w="548" w:type="dxa"/>
            <w:shd w:val="clear" w:color="auto" w:fill="auto"/>
            <w:tcMar>
              <w:top w:w="10" w:type="dxa"/>
              <w:left w:w="10" w:type="dxa"/>
              <w:right w:w="10" w:type="dxa"/>
            </w:tcMar>
            <w:vAlign w:val="center"/>
          </w:tcPr>
          <w:p w14:paraId="76C57D8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FB6A07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FF11B4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1BA657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违反本法规定，水土保持设施未经验收或者验收不合格将生产建设项目投产使用的，由县级以上人民政府水行政主管部门责令停止生产或者使用，直至验收合格，并处五万元以上五十万元以下的罚款。</w:t>
            </w:r>
          </w:p>
        </w:tc>
        <w:tc>
          <w:tcPr>
            <w:tcW w:w="4075" w:type="dxa"/>
            <w:shd w:val="clear" w:color="auto" w:fill="auto"/>
            <w:tcMar>
              <w:top w:w="10" w:type="dxa"/>
              <w:left w:w="10" w:type="dxa"/>
              <w:right w:w="10" w:type="dxa"/>
            </w:tcMar>
            <w:vAlign w:val="center"/>
          </w:tcPr>
          <w:p w14:paraId="4C9FE4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00F5AB0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16AE2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1DE74F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8346E0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2ACC313">
            <w:pPr>
              <w:jc w:val="center"/>
              <w:rPr>
                <w:rFonts w:hint="default" w:ascii="仿宋_GB2312" w:hAnsi="宋体" w:eastAsia="仿宋_GB2312" w:cs="仿宋_GB2312"/>
                <w:i w:val="0"/>
                <w:iCs w:val="0"/>
                <w:strike w:val="0"/>
                <w:dstrike w:val="0"/>
                <w:color w:val="auto"/>
                <w:sz w:val="21"/>
                <w:szCs w:val="21"/>
                <w:u w:val="none"/>
              </w:rPr>
            </w:pPr>
          </w:p>
        </w:tc>
      </w:tr>
      <w:tr w14:paraId="33AC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3BD291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42 </w:t>
            </w:r>
          </w:p>
        </w:tc>
        <w:tc>
          <w:tcPr>
            <w:tcW w:w="775" w:type="dxa"/>
            <w:shd w:val="clear" w:color="auto" w:fill="auto"/>
            <w:tcMar>
              <w:top w:w="10" w:type="dxa"/>
              <w:left w:w="10" w:type="dxa"/>
              <w:right w:w="10" w:type="dxa"/>
            </w:tcMar>
            <w:vAlign w:val="center"/>
          </w:tcPr>
          <w:p w14:paraId="2819EC5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6EE1D7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对在水土保持方案确定的专门存放地以外的区域倾倒砂、石、土、矸石、尾矿、废渣等行为的行政处罚</w:t>
            </w:r>
          </w:p>
        </w:tc>
        <w:tc>
          <w:tcPr>
            <w:tcW w:w="548" w:type="dxa"/>
            <w:shd w:val="clear" w:color="auto" w:fill="auto"/>
            <w:tcMar>
              <w:top w:w="10" w:type="dxa"/>
              <w:left w:w="10" w:type="dxa"/>
              <w:right w:w="10" w:type="dxa"/>
            </w:tcMar>
            <w:vAlign w:val="center"/>
          </w:tcPr>
          <w:p w14:paraId="3617964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C89EA6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AAF6A4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4BDBE83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违反本法规定，在水土保持方案确定的专门存放地以外的区域倾倒砂、石、土、矸石、尾矿、废渣等的，由县级以上地方人民政府水行政主管部门责令停止违法行为，限期清理，按照倾倒数量处每立方米十元以上二十元以下的罚款；逾期仍不清理的，县级以上地方人民政府水行政主管部门可以指定有清理能力的单位代为清理，所需费用由违法行为人承担。</w:t>
            </w:r>
          </w:p>
        </w:tc>
        <w:tc>
          <w:tcPr>
            <w:tcW w:w="4075" w:type="dxa"/>
            <w:shd w:val="clear" w:color="auto" w:fill="auto"/>
            <w:tcMar>
              <w:top w:w="10" w:type="dxa"/>
              <w:left w:w="10" w:type="dxa"/>
              <w:right w:w="10" w:type="dxa"/>
            </w:tcMar>
            <w:vAlign w:val="center"/>
          </w:tcPr>
          <w:p w14:paraId="1984136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1E806F3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B30DC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21AE12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338EF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A21E9A3">
            <w:pPr>
              <w:jc w:val="center"/>
              <w:rPr>
                <w:rFonts w:hint="default" w:ascii="仿宋_GB2312" w:hAnsi="宋体" w:eastAsia="仿宋_GB2312" w:cs="仿宋_GB2312"/>
                <w:i w:val="0"/>
                <w:iCs w:val="0"/>
                <w:strike w:val="0"/>
                <w:dstrike w:val="0"/>
                <w:color w:val="auto"/>
                <w:sz w:val="21"/>
                <w:szCs w:val="21"/>
                <w:u w:val="none"/>
              </w:rPr>
            </w:pPr>
          </w:p>
        </w:tc>
      </w:tr>
      <w:tr w14:paraId="2E6B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D07E3C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43 </w:t>
            </w:r>
          </w:p>
        </w:tc>
        <w:tc>
          <w:tcPr>
            <w:tcW w:w="775" w:type="dxa"/>
            <w:shd w:val="clear" w:color="auto" w:fill="auto"/>
            <w:tcMar>
              <w:top w:w="10" w:type="dxa"/>
              <w:left w:w="10" w:type="dxa"/>
              <w:right w:w="10" w:type="dxa"/>
            </w:tcMar>
            <w:vAlign w:val="center"/>
          </w:tcPr>
          <w:p w14:paraId="525EC93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98DC8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对逾期拒不缴纳水土保持补偿费行为的行政处罚</w:t>
            </w:r>
          </w:p>
        </w:tc>
        <w:tc>
          <w:tcPr>
            <w:tcW w:w="548" w:type="dxa"/>
            <w:shd w:val="clear" w:color="auto" w:fill="auto"/>
            <w:tcMar>
              <w:top w:w="10" w:type="dxa"/>
              <w:left w:w="10" w:type="dxa"/>
              <w:right w:w="10" w:type="dxa"/>
            </w:tcMar>
            <w:vAlign w:val="center"/>
          </w:tcPr>
          <w:p w14:paraId="734C1E6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93CCFF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F7885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523149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违反本法规定，拒不缴纳水土保持补偿费的，由县级以上人民政府水行政主管部门责令限期缴纳；逾期不缴纳的，自滞纳之日起按日加收滞纳部分万分之五的滞纳金，可以处应缴水土保持补偿费三倍以下的罚款。</w:t>
            </w:r>
          </w:p>
        </w:tc>
        <w:tc>
          <w:tcPr>
            <w:tcW w:w="4075" w:type="dxa"/>
            <w:shd w:val="clear" w:color="auto" w:fill="auto"/>
            <w:tcMar>
              <w:top w:w="10" w:type="dxa"/>
              <w:left w:w="10" w:type="dxa"/>
              <w:right w:w="10" w:type="dxa"/>
            </w:tcMar>
            <w:vAlign w:val="center"/>
          </w:tcPr>
          <w:p w14:paraId="1C0EBA2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53A52C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9C1CAC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9628D8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18CC1C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CB4D73F">
            <w:pPr>
              <w:jc w:val="center"/>
              <w:rPr>
                <w:rFonts w:hint="default" w:ascii="仿宋_GB2312" w:hAnsi="宋体" w:eastAsia="仿宋_GB2312" w:cs="仿宋_GB2312"/>
                <w:i w:val="0"/>
                <w:iCs w:val="0"/>
                <w:strike w:val="0"/>
                <w:dstrike w:val="0"/>
                <w:color w:val="auto"/>
                <w:sz w:val="21"/>
                <w:szCs w:val="21"/>
                <w:u w:val="none"/>
              </w:rPr>
            </w:pPr>
          </w:p>
        </w:tc>
      </w:tr>
      <w:tr w14:paraId="6496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5FE5BE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44 </w:t>
            </w:r>
          </w:p>
        </w:tc>
        <w:tc>
          <w:tcPr>
            <w:tcW w:w="775" w:type="dxa"/>
            <w:shd w:val="clear" w:color="auto" w:fill="auto"/>
            <w:tcMar>
              <w:top w:w="10" w:type="dxa"/>
              <w:left w:w="10" w:type="dxa"/>
              <w:right w:w="10" w:type="dxa"/>
            </w:tcMar>
            <w:vAlign w:val="center"/>
          </w:tcPr>
          <w:p w14:paraId="1BBD1B1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F031CC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对水利领域建设单位将建设工程发包给不具有相应资质等级的勘察、设计、监理、施工单位，或者将工程肢解发包等行为的行政处罚</w:t>
            </w:r>
          </w:p>
        </w:tc>
        <w:tc>
          <w:tcPr>
            <w:tcW w:w="548" w:type="dxa"/>
            <w:shd w:val="clear" w:color="auto" w:fill="auto"/>
            <w:tcMar>
              <w:top w:w="10" w:type="dxa"/>
              <w:left w:w="10" w:type="dxa"/>
              <w:right w:w="10" w:type="dxa"/>
            </w:tcMar>
            <w:vAlign w:val="center"/>
          </w:tcPr>
          <w:p w14:paraId="2FE8BC4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A6BBED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FD37C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45D47AF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第六十五条第一款 发包单位将工程发包给不具有相应资质条件的承包单位的，或者违反本法规定将建筑工程肢解发包的，责令改正，处以罚款。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违反本条例规定，建设单位将建设工程发包给不具有相应资质等级的勘察、设计、施工单位或者委托给不具有相应资质等级的工程监理单位的，责令改正，处50万元以上100万元以下的罚款。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违反本条例规定，建设单位将建设工程肢解发包的，责令改正，处工程合同价款0.5%以上1%以下的罚款；对全部或者部分使用国有资金的项目，并可以暂停项目执行或者暂停资金拨付。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违反本条例规定，发包方将建设工程勘察、设计业务发包给不具有相应资质等级的建设工程勘察、设计单位的，责令改正，处50万元以上100万元以下的罚款。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第五十九条 违反本规定，项目法人将工程发包给不具有相应资质等级的勘察、设计、施工单位或者委托给不具有相应资质等级的监理单位的，依照《建设工程质量管理条例》第五十四条规定，由水行政主管部门或者流域管理机构依据职权责令改正，处50万元以上100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第二十五条 项目法人将水利工程建设监理业务委托给不具有相应资质的监理单位，或者必须实行建设监理而未实行的，依照《建设工程质量管理条例》第五十四条、第五十六条处罚</w:t>
            </w:r>
          </w:p>
        </w:tc>
        <w:tc>
          <w:tcPr>
            <w:tcW w:w="4075" w:type="dxa"/>
            <w:shd w:val="clear" w:color="auto" w:fill="auto"/>
            <w:tcMar>
              <w:top w:w="10" w:type="dxa"/>
              <w:left w:w="10" w:type="dxa"/>
              <w:right w:w="10" w:type="dxa"/>
            </w:tcMar>
            <w:vAlign w:val="center"/>
          </w:tcPr>
          <w:p w14:paraId="0FCDA0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63251F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B952D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034E634">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E31D0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FF7CCE2">
            <w:pPr>
              <w:jc w:val="center"/>
              <w:rPr>
                <w:rFonts w:hint="default" w:ascii="仿宋_GB2312" w:hAnsi="宋体" w:eastAsia="仿宋_GB2312" w:cs="仿宋_GB2312"/>
                <w:i w:val="0"/>
                <w:iCs w:val="0"/>
                <w:strike w:val="0"/>
                <w:dstrike w:val="0"/>
                <w:color w:val="auto"/>
                <w:sz w:val="21"/>
                <w:szCs w:val="21"/>
                <w:u w:val="none"/>
              </w:rPr>
            </w:pPr>
          </w:p>
        </w:tc>
      </w:tr>
      <w:tr w14:paraId="45F0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7F887D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45 </w:t>
            </w:r>
          </w:p>
        </w:tc>
        <w:tc>
          <w:tcPr>
            <w:tcW w:w="775" w:type="dxa"/>
            <w:shd w:val="clear" w:color="auto" w:fill="auto"/>
            <w:tcMar>
              <w:top w:w="10" w:type="dxa"/>
              <w:left w:w="10" w:type="dxa"/>
              <w:right w:w="10" w:type="dxa"/>
            </w:tcMar>
            <w:vAlign w:val="center"/>
          </w:tcPr>
          <w:p w14:paraId="6E9BAF8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1069BF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对水利领域转让、出借资质证书或者以其他方式允许他人以本企业的名义承揽工程、投标等行为的行政处罚</w:t>
            </w:r>
          </w:p>
        </w:tc>
        <w:tc>
          <w:tcPr>
            <w:tcW w:w="548" w:type="dxa"/>
            <w:shd w:val="clear" w:color="auto" w:fill="auto"/>
            <w:tcMar>
              <w:top w:w="10" w:type="dxa"/>
              <w:left w:w="10" w:type="dxa"/>
              <w:right w:w="10" w:type="dxa"/>
            </w:tcMar>
            <w:vAlign w:val="center"/>
          </w:tcPr>
          <w:p w14:paraId="0367A96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0E2663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A8B6DE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42C368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第六十六条 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第六十一条 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第六十九条 出让或者出租资格、资质证书供他人投标的，依照法律、行政法规的规定给予行政处罚；构成犯罪的，依法追究刑事责任。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监理单位有下列行为之一的，依照《建设工程质量管理条例》第六十条、第六十一条、第六十二条、第六十七条、第六十八条处罚：（四）允许其他单位或者个人以本单位名义承揽监理业务的；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降低监理单位资质等级、吊销监理单位资质等级证书的处罚以及注销监理工程师注册证书，由水利部决定；其他行政处罚，由有关水行政主管部门依照法定职权决定。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违反本规定，勘察、设计、施工、监理单位允许其他单位或者个人以本单位名义承揽工程的，依照《建设工程质量管理条例》第六十一条规定，由水行政主管部门或者流域管理机构依据职权责令改正，没收违法所得，对勘察、设计或者监理单位处合同约定的勘察费、设计费或者监理酬金1倍以上2倍以下的罚款；对施工单位处工程合同价款2%以上4%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有关单位违反本规定，依法应当责令停业整顿、降低资质等级或者吊销资质证书的，依照《建设工程质量管理条例》第七十五条、《建设工程勘察设计管理条例》第四十二条的规定处罚。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检测单位违反本规定，有下列行为之一的，由县级以上人民政府水行政主管部门责令改正，有违法所得的，没收违法所得，可并处1万元以上3万元以下的罚款；构成犯罪的，依法追究刑事责任：（二）涂改、倒卖、出租、出借或者以其他形式非法转让《资质等级证书》的；</w:t>
            </w:r>
          </w:p>
        </w:tc>
        <w:tc>
          <w:tcPr>
            <w:tcW w:w="4075" w:type="dxa"/>
            <w:shd w:val="clear" w:color="auto" w:fill="auto"/>
            <w:tcMar>
              <w:top w:w="10" w:type="dxa"/>
              <w:left w:w="10" w:type="dxa"/>
              <w:right w:w="10" w:type="dxa"/>
            </w:tcMar>
            <w:vAlign w:val="center"/>
          </w:tcPr>
          <w:p w14:paraId="5CA7205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FCB68E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565FAA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E2A452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CF230B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A5E8B97">
            <w:pPr>
              <w:jc w:val="center"/>
              <w:rPr>
                <w:rFonts w:hint="default" w:ascii="仿宋_GB2312" w:hAnsi="宋体" w:eastAsia="仿宋_GB2312" w:cs="仿宋_GB2312"/>
                <w:i w:val="0"/>
                <w:iCs w:val="0"/>
                <w:strike w:val="0"/>
                <w:dstrike w:val="0"/>
                <w:color w:val="auto"/>
                <w:sz w:val="21"/>
                <w:szCs w:val="21"/>
                <w:u w:val="none"/>
              </w:rPr>
            </w:pPr>
          </w:p>
        </w:tc>
      </w:tr>
      <w:tr w14:paraId="6D42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041B79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46 </w:t>
            </w:r>
          </w:p>
        </w:tc>
        <w:tc>
          <w:tcPr>
            <w:tcW w:w="775" w:type="dxa"/>
            <w:shd w:val="clear" w:color="auto" w:fill="auto"/>
            <w:tcMar>
              <w:top w:w="10" w:type="dxa"/>
              <w:left w:w="10" w:type="dxa"/>
              <w:right w:w="10" w:type="dxa"/>
            </w:tcMar>
            <w:vAlign w:val="center"/>
          </w:tcPr>
          <w:p w14:paraId="7DA6183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4AE96E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对水利领域将工程勘察、设计转包，承包的工程转包、转让或者违法分包，转让工程监理业务等行为的行政处罚</w:t>
            </w:r>
          </w:p>
        </w:tc>
        <w:tc>
          <w:tcPr>
            <w:tcW w:w="548" w:type="dxa"/>
            <w:shd w:val="clear" w:color="auto" w:fill="auto"/>
            <w:tcMar>
              <w:top w:w="10" w:type="dxa"/>
              <w:left w:w="10" w:type="dxa"/>
              <w:right w:w="10" w:type="dxa"/>
            </w:tcMar>
            <w:vAlign w:val="center"/>
          </w:tcPr>
          <w:p w14:paraId="1E8081B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FEBC12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设区市</w:t>
            </w:r>
          </w:p>
        </w:tc>
        <w:tc>
          <w:tcPr>
            <w:tcW w:w="957" w:type="dxa"/>
            <w:shd w:val="clear" w:color="auto" w:fill="auto"/>
            <w:tcMar>
              <w:top w:w="10" w:type="dxa"/>
              <w:left w:w="10" w:type="dxa"/>
              <w:right w:w="10" w:type="dxa"/>
            </w:tcMar>
            <w:vAlign w:val="center"/>
          </w:tcPr>
          <w:p w14:paraId="4B2A26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5A0D94D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 承包单位将承包的工程转包的，或者违反本法规定进行分包的，责令改正，没收违法所得，并处罚款，可以责令停业整顿，降低资质等级；情节严重的，吊销资质证书。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承包单位有前款规定的违法行为的，对因转包工程或者违法分包的工程不符合规定的质量标准造成的损失，与接受转包或者分包的单位承担连带赔偿责任。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第六十二条 违反本条例规定，承包单位将承包的工程转包或者违法分包的，责令改正，没收违法所得，对勘察、设计单位处合同约定的勘察费、设计费25%以上50%以下的罚款；对施工单位处工程合同价款0.5%以上1%以下的罚款；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工程监理单位转让工程监理业务的，责令改正，没收违法所得，处合同约定的监理酬金25%以上50%以下的罚款；可以责令停业整顿，降低资质等级；情节严重的，吊销资质证书。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第三十九条 违反本条例规定，建设工程勘察、设计单位将所承揽的建设工程勘察、设计转包的，责令改正，没收违法所得，处合同约定的勘察费、设计费25%以上50%以下的罚款，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第七十六条 中标人将中标项目转让给他人的，将中标项目肢解后分别转让给他人的，违反招标投标法和本条例规定将中标项目的部分主体、关键性工作分包给他人的，或者分包人再次分包的，转让、分包无效，处转让、分包项目金额5‰以上10‰以下的罚款；有违法所得的，并处没收违法所得；可以责令停业整顿；情节严重的，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第八十二条 中标人将中标项目转让给他人的，将中标项目肢解后分别转让给他人的，违法将中标项目的部分主体、关键性工作分包给他人的，或者分包人再次分包的，转让、分包无效，有关行政监督部门处转让、分包项目金额千分之五以上千分之十以下的罚款；有违法所得的，并处没收违法所得；可以责令停业整顿；情节严重的，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第六十四条 违反本规定，承包单位将承包的工程转包或者违法分包的，依照《建设工程质量管理条例》第六十二条规定，由水行政主管部门或者流域管理机构依据职权责令改正，没收违法所得，对勘察、设计单位处合同约定的勘察费、设计费25%以上50%以下的罚款；对施工单位处工程合同价款0.5%以上1%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监理单位转让工程监理业务的，依照《建设工程质量管理条例》第六十二条规定，由水行政主管部门或者流域管理机构依据职权责令改正，没收违法所得，处合同约定的监理酬金25%以上50%以下的罚款。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监理单位有下列行为之一的，依照《建设工程质量管理条例》第六十条、第六十一条、第六十二条、第六十七条、第六十八条处罚：（五）转让监理业务的；</w:t>
            </w:r>
          </w:p>
        </w:tc>
        <w:tc>
          <w:tcPr>
            <w:tcW w:w="4075" w:type="dxa"/>
            <w:shd w:val="clear" w:color="auto" w:fill="auto"/>
            <w:tcMar>
              <w:top w:w="10" w:type="dxa"/>
              <w:left w:w="10" w:type="dxa"/>
              <w:right w:w="10" w:type="dxa"/>
            </w:tcMar>
            <w:vAlign w:val="center"/>
          </w:tcPr>
          <w:p w14:paraId="715034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5CC6F6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00DBF9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CAF1A24">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B9F072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32D3807">
            <w:pPr>
              <w:jc w:val="center"/>
              <w:rPr>
                <w:rFonts w:hint="default" w:ascii="仿宋_GB2312" w:hAnsi="宋体" w:eastAsia="仿宋_GB2312" w:cs="仿宋_GB2312"/>
                <w:i w:val="0"/>
                <w:iCs w:val="0"/>
                <w:strike w:val="0"/>
                <w:dstrike w:val="0"/>
                <w:color w:val="auto"/>
                <w:sz w:val="21"/>
                <w:szCs w:val="21"/>
                <w:u w:val="none"/>
              </w:rPr>
            </w:pPr>
          </w:p>
        </w:tc>
      </w:tr>
      <w:tr w14:paraId="1EF4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34CCB7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47 </w:t>
            </w:r>
          </w:p>
        </w:tc>
        <w:tc>
          <w:tcPr>
            <w:tcW w:w="775" w:type="dxa"/>
            <w:shd w:val="clear" w:color="auto" w:fill="auto"/>
            <w:tcMar>
              <w:top w:w="10" w:type="dxa"/>
              <w:left w:w="10" w:type="dxa"/>
              <w:right w:w="10" w:type="dxa"/>
            </w:tcMar>
            <w:vAlign w:val="center"/>
          </w:tcPr>
          <w:p w14:paraId="60BD014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8F0E6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对在水利领域工程建设活动中索贿、受贿、行贿或者其他不正当利益行为的行政处罚</w:t>
            </w:r>
          </w:p>
        </w:tc>
        <w:tc>
          <w:tcPr>
            <w:tcW w:w="548" w:type="dxa"/>
            <w:shd w:val="clear" w:color="auto" w:fill="auto"/>
            <w:tcMar>
              <w:top w:w="10" w:type="dxa"/>
              <w:left w:w="10" w:type="dxa"/>
              <w:right w:w="10" w:type="dxa"/>
            </w:tcMar>
            <w:vAlign w:val="center"/>
          </w:tcPr>
          <w:p w14:paraId="5A342DB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CC58F3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B2E3A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328D642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第六十八条 在工程发包与承包中索贿、受贿、行贿，构成犯罪的，依法追究刑事责任；不构成犯罪的，分别处以罚款，没收贿赂的财物，对直接负责的主管人员和其他直接责任人员给予处分。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对在工程承包中行贿的承包单位，除依照前款规定处罚外，可以责令停业整顿，降低资质等级或者吊销资质证书。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w:t>
            </w:r>
            <w:bookmarkStart w:id="0" w:name="_GoBack"/>
            <w:bookmarkEnd w:id="0"/>
            <w:r>
              <w:rPr>
                <w:rFonts w:hint="eastAsia" w:ascii="仿宋_GB2312" w:hAnsi="宋体" w:eastAsia="仿宋_GB2312" w:cs="仿宋_GB2312"/>
                <w:i w:val="0"/>
                <w:iCs w:val="0"/>
                <w:strike w:val="0"/>
                <w:dstrike w:val="0"/>
                <w:color w:val="auto"/>
                <w:sz w:val="21"/>
                <w:szCs w:val="21"/>
                <w:u w:val="none"/>
                <w:lang w:eastAsia="zh-CN"/>
              </w:rPr>
              <w:t>《中华人民共和国招标投标法》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 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投标人有下列行为之一的，属于招标投标法第五十三条规定的情节严重行为，由有关行政监督部门取消其1年至2年内参加依法必须进行招标的项目的投标资格：（一）以行贿谋取中标；（二）3年内2次以上串通投标；（三）串通投标行为损害招标人、其他投标人或者国家、集体、公民的合法利益，造成直接经济损失30万元以上；（四）其他串通投标情节严重的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投标人自本条第二款规定的处罚执行期限届满之日起3年内又有该款所列违法行为之一的，或者串通投标、以行贿谋取中标情节特别严重的，由工商行政管理机关吊销营业执照。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法律、行政法规对串通投标报价行为的处罚另有规定的，从其规定。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4.【地方性法规】《广西壮族自治区建筑市场管理条例》（1996年自治区第八届人民代表大会常务委员会第二十三次会议通过，2016年第四次修正）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第十六条 发包方及其工作人员不得在建设工程发包中收受贿赂或者以其他非法手段谋取不正当的利益。</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违反本条例第十六条、第二十一条规定的，由县级以上建设行政主管部门没收其违法所得，可并处违法所得５倍以下罚款；构成犯罪的，依法追究刑事责任。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本条例第三十五条、第三十六条、第三十七条的行政处罚，属国家和自治区重点建设专业工程的，由县级以上人民政府工业、交通、水利等有关行政主管部门作出决定。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第二十六条 项目法人及其工作人员收受监理单位贿赂、索取回扣或者其他不正当利益的，予以追缴，并处违法所得3倍以下且不超过3万元的罚款；构成犯罪的，依法追究有关责任人员的刑事责任。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依法给予监理单位罚款处罚的，对单位直接负责的主管人员和其他直接责任人员处单位罚款数额百分之五以上、百分之十以下的罚款。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监理单位的工作人员因调动工作、退休等原因离开该单位后，被发现在该单位工作期间违反国家有关工程建设质量管理规定，造成重大工程质量事故的，仍应当依法追究法律责任。</w:t>
            </w:r>
          </w:p>
        </w:tc>
        <w:tc>
          <w:tcPr>
            <w:tcW w:w="4075" w:type="dxa"/>
            <w:shd w:val="clear" w:color="auto" w:fill="auto"/>
            <w:tcMar>
              <w:top w:w="10" w:type="dxa"/>
              <w:left w:w="10" w:type="dxa"/>
              <w:right w:w="10" w:type="dxa"/>
            </w:tcMar>
            <w:vAlign w:val="center"/>
          </w:tcPr>
          <w:p w14:paraId="54F2C23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11A603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29C7B9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665F59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230441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8043B99">
            <w:pPr>
              <w:jc w:val="center"/>
              <w:rPr>
                <w:rFonts w:hint="default" w:ascii="仿宋_GB2312" w:hAnsi="宋体" w:eastAsia="仿宋_GB2312" w:cs="仿宋_GB2312"/>
                <w:i w:val="0"/>
                <w:iCs w:val="0"/>
                <w:strike w:val="0"/>
                <w:dstrike w:val="0"/>
                <w:color w:val="auto"/>
                <w:sz w:val="21"/>
                <w:szCs w:val="21"/>
                <w:u w:val="none"/>
              </w:rPr>
            </w:pPr>
          </w:p>
        </w:tc>
      </w:tr>
      <w:tr w14:paraId="30D8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FCDB79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48 </w:t>
            </w:r>
          </w:p>
        </w:tc>
        <w:tc>
          <w:tcPr>
            <w:tcW w:w="775" w:type="dxa"/>
            <w:shd w:val="clear" w:color="auto" w:fill="auto"/>
            <w:tcMar>
              <w:top w:w="10" w:type="dxa"/>
              <w:left w:w="10" w:type="dxa"/>
              <w:right w:w="10" w:type="dxa"/>
            </w:tcMar>
            <w:vAlign w:val="center"/>
          </w:tcPr>
          <w:p w14:paraId="2B34236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6F86FC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对水利工程建设项目法人以及其他参建单位提交验收资料不真实导致验收结论有误行为的行政处罚</w:t>
            </w:r>
          </w:p>
        </w:tc>
        <w:tc>
          <w:tcPr>
            <w:tcW w:w="548" w:type="dxa"/>
            <w:shd w:val="clear" w:color="auto" w:fill="auto"/>
            <w:tcMar>
              <w:top w:w="10" w:type="dxa"/>
              <w:left w:w="10" w:type="dxa"/>
              <w:right w:w="10" w:type="dxa"/>
            </w:tcMar>
            <w:vAlign w:val="center"/>
          </w:tcPr>
          <w:p w14:paraId="7D54B45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1889CF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14A5AC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2FEB15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1.【部门规章】《水利工程建设项目验收管理规定》（2006年水利部令第30号发布，2017年水利部令第49号第三次修改）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第四十二条 项目法人以及其他参建单位提交验收资料不真实导致验收结论有误的，由提交不真实验收资料的单位承担责任。竣工验收主持单位收回验收鉴定书，对责任单位予以通报批评；造成严重后果的，依照有关法律法规处罚。</w:t>
            </w:r>
          </w:p>
        </w:tc>
        <w:tc>
          <w:tcPr>
            <w:tcW w:w="4075" w:type="dxa"/>
            <w:shd w:val="clear" w:color="auto" w:fill="auto"/>
            <w:tcMar>
              <w:top w:w="10" w:type="dxa"/>
              <w:left w:w="10" w:type="dxa"/>
              <w:right w:w="10" w:type="dxa"/>
            </w:tcMar>
            <w:vAlign w:val="center"/>
          </w:tcPr>
          <w:p w14:paraId="124B215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7767EA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E8232F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7C0AE5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7C38F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4DF246E">
            <w:pPr>
              <w:jc w:val="center"/>
              <w:rPr>
                <w:rFonts w:hint="default" w:ascii="仿宋_GB2312" w:hAnsi="宋体" w:eastAsia="仿宋_GB2312" w:cs="仿宋_GB2312"/>
                <w:i w:val="0"/>
                <w:iCs w:val="0"/>
                <w:strike w:val="0"/>
                <w:dstrike w:val="0"/>
                <w:color w:val="auto"/>
                <w:sz w:val="21"/>
                <w:szCs w:val="21"/>
                <w:u w:val="none"/>
              </w:rPr>
            </w:pPr>
          </w:p>
        </w:tc>
      </w:tr>
      <w:tr w14:paraId="65A1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A7F7EF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49 </w:t>
            </w:r>
          </w:p>
        </w:tc>
        <w:tc>
          <w:tcPr>
            <w:tcW w:w="775" w:type="dxa"/>
            <w:shd w:val="clear" w:color="auto" w:fill="auto"/>
            <w:tcMar>
              <w:top w:w="10" w:type="dxa"/>
              <w:left w:w="10" w:type="dxa"/>
              <w:right w:w="10" w:type="dxa"/>
            </w:tcMar>
            <w:vAlign w:val="center"/>
          </w:tcPr>
          <w:p w14:paraId="098D35D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CF3A0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对水利领域参加验收的专家在验收工作中玩忽职守、徇私舞弊行为的行政处罚</w:t>
            </w:r>
          </w:p>
        </w:tc>
        <w:tc>
          <w:tcPr>
            <w:tcW w:w="548" w:type="dxa"/>
            <w:shd w:val="clear" w:color="auto" w:fill="auto"/>
            <w:tcMar>
              <w:top w:w="10" w:type="dxa"/>
              <w:left w:w="10" w:type="dxa"/>
              <w:right w:w="10" w:type="dxa"/>
            </w:tcMar>
            <w:vAlign w:val="center"/>
          </w:tcPr>
          <w:p w14:paraId="26B119E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8AE1A4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0445A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297E24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1.【部门规章】《水利工程建设项目验收管理规定》（2006年水利部令第30号发布，2017年水利部令第49号第三次修改）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参加验收的专家在验收工作中玩忽职守、徇私舞弊的，由验收监督管理机关予以通报批评；情节严重的，取消其参加验收的资格；构成犯罪的，依法追究刑事责任。</w:t>
            </w:r>
          </w:p>
        </w:tc>
        <w:tc>
          <w:tcPr>
            <w:tcW w:w="4075" w:type="dxa"/>
            <w:shd w:val="clear" w:color="auto" w:fill="auto"/>
            <w:tcMar>
              <w:top w:w="10" w:type="dxa"/>
              <w:left w:w="10" w:type="dxa"/>
              <w:right w:w="10" w:type="dxa"/>
            </w:tcMar>
            <w:vAlign w:val="center"/>
          </w:tcPr>
          <w:p w14:paraId="2EEFD38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07828F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B0CFE1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D0D2AB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3EA1E8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89AF75C">
            <w:pPr>
              <w:jc w:val="center"/>
              <w:rPr>
                <w:rFonts w:hint="default" w:ascii="仿宋_GB2312" w:hAnsi="宋体" w:eastAsia="仿宋_GB2312" w:cs="仿宋_GB2312"/>
                <w:i w:val="0"/>
                <w:iCs w:val="0"/>
                <w:strike w:val="0"/>
                <w:dstrike w:val="0"/>
                <w:color w:val="auto"/>
                <w:sz w:val="21"/>
                <w:szCs w:val="21"/>
                <w:u w:val="none"/>
              </w:rPr>
            </w:pPr>
          </w:p>
        </w:tc>
      </w:tr>
      <w:tr w14:paraId="397A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E59722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50 </w:t>
            </w:r>
          </w:p>
        </w:tc>
        <w:tc>
          <w:tcPr>
            <w:tcW w:w="775" w:type="dxa"/>
            <w:shd w:val="clear" w:color="auto" w:fill="auto"/>
            <w:tcMar>
              <w:top w:w="10" w:type="dxa"/>
              <w:left w:w="10" w:type="dxa"/>
              <w:right w:w="10" w:type="dxa"/>
            </w:tcMar>
            <w:vAlign w:val="center"/>
          </w:tcPr>
          <w:p w14:paraId="331B5BD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1BE5E9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对水利领域建设单位迫使承包方以低于成本的价格竞标、任意压缩合理工期等行为的行政处罚</w:t>
            </w:r>
          </w:p>
        </w:tc>
        <w:tc>
          <w:tcPr>
            <w:tcW w:w="548" w:type="dxa"/>
            <w:shd w:val="clear" w:color="auto" w:fill="auto"/>
            <w:tcMar>
              <w:top w:w="10" w:type="dxa"/>
              <w:left w:w="10" w:type="dxa"/>
              <w:right w:w="10" w:type="dxa"/>
            </w:tcMar>
            <w:vAlign w:val="center"/>
          </w:tcPr>
          <w:p w14:paraId="712AE26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862B7F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3CD0DC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7FBD063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规定，项目法人有下列行为之一的，依照《建设工程质量管理条例》第五十六条规定，由水行政主管部门或者流域管理机构依据职权责令改正，处20万元以上50万元以下的罚款：（一）迫使市场主体以低于成本的价格竞标的；（二）任意压缩合理工期的；（三）明示或者暗示勘察、设计、施工单位违反工程建设强制性标准，降低工程质量的；（四）施工图设计文件未经审查或者审查不合格，擅自施工的；（五）未按照国家规定办理工程质量监督手续的；（六）明示或者暗示施工单位使用不合格的原材料、中间产品和设备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第二十五条第一款 项目法人将水利工程建设监理业务委托给不具有相应资质的监理单位，或者必须实行建设监理而未实行的，依照《建设工程质量管理条例》第五十四条、第五十六条处罚。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4.【部门规章】《实施工程建设强制性标准监督规定》（2000年8月25日中华人民共和国建设部令第81号发布，2021年第二次修正）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第十六条 建设单位有下列行为之一的，责令改正，并处以20万元以上50万元以下的罚款：（一）明示或者暗示施工单位使用不合格的建筑材料、建筑构配件和设备的；（二）明示或者暗示设计单位或者施工单位违反工程建设强制性标准，降低工程质量的。</w:t>
            </w:r>
          </w:p>
        </w:tc>
        <w:tc>
          <w:tcPr>
            <w:tcW w:w="4075" w:type="dxa"/>
            <w:shd w:val="clear" w:color="auto" w:fill="auto"/>
            <w:tcMar>
              <w:top w:w="10" w:type="dxa"/>
              <w:left w:w="10" w:type="dxa"/>
              <w:right w:w="10" w:type="dxa"/>
            </w:tcMar>
            <w:vAlign w:val="center"/>
          </w:tcPr>
          <w:p w14:paraId="0A096C8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D1186F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CB0EF8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F82F38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2008F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3FA9F95">
            <w:pPr>
              <w:jc w:val="center"/>
              <w:rPr>
                <w:rFonts w:hint="default" w:ascii="仿宋_GB2312" w:hAnsi="宋体" w:eastAsia="仿宋_GB2312" w:cs="仿宋_GB2312"/>
                <w:i w:val="0"/>
                <w:iCs w:val="0"/>
                <w:strike w:val="0"/>
                <w:dstrike w:val="0"/>
                <w:color w:val="auto"/>
                <w:sz w:val="21"/>
                <w:szCs w:val="21"/>
                <w:u w:val="none"/>
              </w:rPr>
            </w:pPr>
          </w:p>
        </w:tc>
      </w:tr>
      <w:tr w14:paraId="01B7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BA3ACB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51 </w:t>
            </w:r>
          </w:p>
        </w:tc>
        <w:tc>
          <w:tcPr>
            <w:tcW w:w="775" w:type="dxa"/>
            <w:shd w:val="clear" w:color="auto" w:fill="auto"/>
            <w:tcMar>
              <w:top w:w="10" w:type="dxa"/>
              <w:left w:w="10" w:type="dxa"/>
              <w:right w:w="10" w:type="dxa"/>
            </w:tcMar>
            <w:vAlign w:val="center"/>
          </w:tcPr>
          <w:p w14:paraId="3173D33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5EC4B1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对水利领域建设单位未组织竣工验收或者验收不合格擅自交付使用等行为的行政处罚</w:t>
            </w:r>
          </w:p>
        </w:tc>
        <w:tc>
          <w:tcPr>
            <w:tcW w:w="548" w:type="dxa"/>
            <w:shd w:val="clear" w:color="auto" w:fill="auto"/>
            <w:tcMar>
              <w:top w:w="10" w:type="dxa"/>
              <w:left w:w="10" w:type="dxa"/>
              <w:right w:w="10" w:type="dxa"/>
            </w:tcMar>
            <w:vAlign w:val="center"/>
          </w:tcPr>
          <w:p w14:paraId="79427EA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605FB3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E10D2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218662B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违反本条例规定，建设单位有下列行为之一的，责令改正，处工程合同价款2%以上4%以下的罚款；造成损失的，依法承担赔偿责任：（一）未组织竣工验收，擅自交付使用的；（二）验收不合格，擅自交付使用的；（三）对不合格的建设工程按照合格工程验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p>
        </w:tc>
        <w:tc>
          <w:tcPr>
            <w:tcW w:w="4075" w:type="dxa"/>
            <w:shd w:val="clear" w:color="auto" w:fill="auto"/>
            <w:tcMar>
              <w:top w:w="10" w:type="dxa"/>
              <w:left w:w="10" w:type="dxa"/>
              <w:right w:w="10" w:type="dxa"/>
            </w:tcMar>
            <w:vAlign w:val="center"/>
          </w:tcPr>
          <w:p w14:paraId="49E2788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6B6243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30F559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81E10D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8EEDF5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F99FB97">
            <w:pPr>
              <w:jc w:val="center"/>
              <w:rPr>
                <w:rFonts w:hint="default" w:ascii="仿宋_GB2312" w:hAnsi="宋体" w:eastAsia="仿宋_GB2312" w:cs="仿宋_GB2312"/>
                <w:i w:val="0"/>
                <w:iCs w:val="0"/>
                <w:strike w:val="0"/>
                <w:dstrike w:val="0"/>
                <w:color w:val="auto"/>
                <w:sz w:val="21"/>
                <w:szCs w:val="21"/>
                <w:u w:val="none"/>
              </w:rPr>
            </w:pPr>
          </w:p>
        </w:tc>
      </w:tr>
      <w:tr w14:paraId="1C3D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EB1F42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52 </w:t>
            </w:r>
          </w:p>
        </w:tc>
        <w:tc>
          <w:tcPr>
            <w:tcW w:w="775" w:type="dxa"/>
            <w:shd w:val="clear" w:color="auto" w:fill="auto"/>
            <w:tcMar>
              <w:top w:w="10" w:type="dxa"/>
              <w:left w:w="10" w:type="dxa"/>
              <w:right w:w="10" w:type="dxa"/>
            </w:tcMar>
            <w:vAlign w:val="center"/>
          </w:tcPr>
          <w:p w14:paraId="7E7ECEC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A97777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对水利领域建设单位在水利工程竣工验收后未移交建设项目档案行为的行政处罚</w:t>
            </w:r>
          </w:p>
        </w:tc>
        <w:tc>
          <w:tcPr>
            <w:tcW w:w="548" w:type="dxa"/>
            <w:shd w:val="clear" w:color="auto" w:fill="auto"/>
            <w:tcMar>
              <w:top w:w="10" w:type="dxa"/>
              <w:left w:w="10" w:type="dxa"/>
              <w:right w:w="10" w:type="dxa"/>
            </w:tcMar>
            <w:vAlign w:val="center"/>
          </w:tcPr>
          <w:p w14:paraId="20C5D8B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1206F8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E0CC3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268AA2E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第五十九条 违反本条例规定，建设工程竣工验收后，建设单位未向建设行政主管部门或者其他有关部门移交建设项目档案的，责令改正，处1万元以上10万元以下的罚款。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第六十一条 违反本规定，水利工程竣工验收后，项目法人未移交建设项目档案的，依照《建设工程质量管理条例》第五十九条规定，由水行政主管部门或者流域管理机构依据职权责令改正，处1万元以上10万元以下的罚款。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p>
        </w:tc>
        <w:tc>
          <w:tcPr>
            <w:tcW w:w="4075" w:type="dxa"/>
            <w:shd w:val="clear" w:color="auto" w:fill="auto"/>
            <w:tcMar>
              <w:top w:w="10" w:type="dxa"/>
              <w:left w:w="10" w:type="dxa"/>
              <w:right w:w="10" w:type="dxa"/>
            </w:tcMar>
            <w:vAlign w:val="center"/>
          </w:tcPr>
          <w:p w14:paraId="55767F5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7A1B7A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9F5A10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8F4204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F31B66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655FD55">
            <w:pPr>
              <w:jc w:val="center"/>
              <w:rPr>
                <w:rFonts w:hint="default" w:ascii="仿宋_GB2312" w:hAnsi="宋体" w:eastAsia="仿宋_GB2312" w:cs="仿宋_GB2312"/>
                <w:i w:val="0"/>
                <w:iCs w:val="0"/>
                <w:strike w:val="0"/>
                <w:dstrike w:val="0"/>
                <w:color w:val="auto"/>
                <w:sz w:val="21"/>
                <w:szCs w:val="21"/>
                <w:u w:val="none"/>
              </w:rPr>
            </w:pPr>
          </w:p>
        </w:tc>
      </w:tr>
      <w:tr w14:paraId="10D6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6D9AA7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53 </w:t>
            </w:r>
          </w:p>
        </w:tc>
        <w:tc>
          <w:tcPr>
            <w:tcW w:w="775" w:type="dxa"/>
            <w:shd w:val="clear" w:color="auto" w:fill="auto"/>
            <w:tcMar>
              <w:top w:w="10" w:type="dxa"/>
              <w:left w:w="10" w:type="dxa"/>
              <w:right w:w="10" w:type="dxa"/>
            </w:tcMar>
            <w:vAlign w:val="center"/>
          </w:tcPr>
          <w:p w14:paraId="02E7C8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EA6E06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对水利工程建设监理单位以串通、欺诈、胁迫、贿赂等不正当竞争手段承揽监理业务，利用工作便利与相关单位串通谋取不正当利益等行为的行政处罚</w:t>
            </w:r>
          </w:p>
        </w:tc>
        <w:tc>
          <w:tcPr>
            <w:tcW w:w="548" w:type="dxa"/>
            <w:shd w:val="clear" w:color="auto" w:fill="auto"/>
            <w:tcMar>
              <w:top w:w="10" w:type="dxa"/>
              <w:left w:w="10" w:type="dxa"/>
              <w:right w:w="10" w:type="dxa"/>
            </w:tcMar>
            <w:vAlign w:val="center"/>
          </w:tcPr>
          <w:p w14:paraId="48B1848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111949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DE8D28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6A40BA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第二十八条 监理单位有下列行为之一的，责令改正，给予警告；无违法所得的，处1万元以下罚款，有违法所得的，予以追缴，处违法所得3倍以下且不超过3万元罚款；情节严重的，降低资质等级；构成犯罪的，依法追究有关责任人员的刑事责任：（一）以串通、欺诈、胁迫、贿赂等不正当竞争手段承揽监理业务的；（二）利用工作便利与项目法人、被监理单位以及建筑材料、建筑构配件和设备供应单位串通，谋取不正当利益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第三十四条第一款  依法给予监理单位罚款处罚的，对单位直接负责的主管人员和其他直接责任人员处单位罚款数额百分之五以上、百分之十以下的罚款。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降低监理单位资质等级、吊销监理单位资质等级证书的处罚以及注销监理工程师注册证书，由水利部决定；其他行政处罚，由有关水行政主管部门依照法定职权决定。</w:t>
            </w:r>
          </w:p>
        </w:tc>
        <w:tc>
          <w:tcPr>
            <w:tcW w:w="4075" w:type="dxa"/>
            <w:shd w:val="clear" w:color="auto" w:fill="auto"/>
            <w:tcMar>
              <w:top w:w="10" w:type="dxa"/>
              <w:left w:w="10" w:type="dxa"/>
              <w:right w:w="10" w:type="dxa"/>
            </w:tcMar>
            <w:vAlign w:val="center"/>
          </w:tcPr>
          <w:p w14:paraId="6B28B9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AF80E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E6495B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636450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D5C52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DD29AF7">
            <w:pPr>
              <w:jc w:val="center"/>
              <w:rPr>
                <w:rFonts w:hint="default" w:ascii="仿宋_GB2312" w:hAnsi="宋体" w:eastAsia="仿宋_GB2312" w:cs="仿宋_GB2312"/>
                <w:i w:val="0"/>
                <w:iCs w:val="0"/>
                <w:strike w:val="0"/>
                <w:dstrike w:val="0"/>
                <w:color w:val="auto"/>
                <w:sz w:val="21"/>
                <w:szCs w:val="21"/>
                <w:u w:val="none"/>
              </w:rPr>
            </w:pPr>
          </w:p>
        </w:tc>
      </w:tr>
      <w:tr w14:paraId="652F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501646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54 </w:t>
            </w:r>
          </w:p>
        </w:tc>
        <w:tc>
          <w:tcPr>
            <w:tcW w:w="775" w:type="dxa"/>
            <w:shd w:val="clear" w:color="auto" w:fill="auto"/>
            <w:tcMar>
              <w:top w:w="10" w:type="dxa"/>
              <w:left w:w="10" w:type="dxa"/>
              <w:right w:w="10" w:type="dxa"/>
            </w:tcMar>
            <w:vAlign w:val="center"/>
          </w:tcPr>
          <w:p w14:paraId="1E6A411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C1A9D2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对水利工程建设监理单位聘用无相应监理人员资格的人员从事监理业务等行为的行政处罚</w:t>
            </w:r>
          </w:p>
        </w:tc>
        <w:tc>
          <w:tcPr>
            <w:tcW w:w="548" w:type="dxa"/>
            <w:shd w:val="clear" w:color="auto" w:fill="auto"/>
            <w:tcMar>
              <w:top w:w="10" w:type="dxa"/>
              <w:left w:w="10" w:type="dxa"/>
              <w:right w:w="10" w:type="dxa"/>
            </w:tcMar>
            <w:vAlign w:val="center"/>
          </w:tcPr>
          <w:p w14:paraId="7910BD5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A4527C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AEEE1F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0B61F8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第三十条 监理单位有下列行为之一的，责令改正，给予警告；情节严重的，降低资质等级：（一）聘用无相应监理人员资格的人员从事监理业务的；（二）隐瞒有关情况、拒绝提供材料或者提供虚假材料的。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降低监理单位资质等级、吊销监理单位资质等级证书的处罚以及注销监理工程师注册证书，由水利部决定；其他行政处罚，由有关水行政主管部门依照法定职权决定。</w:t>
            </w:r>
          </w:p>
        </w:tc>
        <w:tc>
          <w:tcPr>
            <w:tcW w:w="4075" w:type="dxa"/>
            <w:shd w:val="clear" w:color="auto" w:fill="auto"/>
            <w:tcMar>
              <w:top w:w="10" w:type="dxa"/>
              <w:left w:w="10" w:type="dxa"/>
              <w:right w:w="10" w:type="dxa"/>
            </w:tcMar>
            <w:vAlign w:val="center"/>
          </w:tcPr>
          <w:p w14:paraId="29D39C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3A000A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0179B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D62CFF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DD85B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F52B774">
            <w:pPr>
              <w:jc w:val="center"/>
              <w:rPr>
                <w:rFonts w:hint="default" w:ascii="仿宋_GB2312" w:hAnsi="宋体" w:eastAsia="仿宋_GB2312" w:cs="仿宋_GB2312"/>
                <w:i w:val="0"/>
                <w:iCs w:val="0"/>
                <w:strike w:val="0"/>
                <w:dstrike w:val="0"/>
                <w:color w:val="auto"/>
                <w:sz w:val="21"/>
                <w:szCs w:val="21"/>
                <w:u w:val="none"/>
              </w:rPr>
            </w:pPr>
          </w:p>
        </w:tc>
      </w:tr>
      <w:tr w14:paraId="6426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10A662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55 </w:t>
            </w:r>
          </w:p>
        </w:tc>
        <w:tc>
          <w:tcPr>
            <w:tcW w:w="775" w:type="dxa"/>
            <w:shd w:val="clear" w:color="auto" w:fill="auto"/>
            <w:tcMar>
              <w:top w:w="10" w:type="dxa"/>
              <w:left w:w="10" w:type="dxa"/>
              <w:right w:w="10" w:type="dxa"/>
            </w:tcMar>
            <w:vAlign w:val="center"/>
          </w:tcPr>
          <w:p w14:paraId="230CC86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D9931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对水利工程建设监理人员利用执（从）业上的便利，索取或者收受相关单位财物，与相关单位串通，谋取不正当利益等行为的行政处罚</w:t>
            </w:r>
          </w:p>
        </w:tc>
        <w:tc>
          <w:tcPr>
            <w:tcW w:w="548" w:type="dxa"/>
            <w:shd w:val="clear" w:color="auto" w:fill="auto"/>
            <w:tcMar>
              <w:top w:w="10" w:type="dxa"/>
              <w:left w:w="10" w:type="dxa"/>
              <w:right w:w="10" w:type="dxa"/>
            </w:tcMar>
            <w:vAlign w:val="center"/>
          </w:tcPr>
          <w:p w14:paraId="433382B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B9D811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7FE76F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792998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第三十一条 监理人员从事水利工程建设监理活动，有下列行为之一的，责令改正，给予警告；其中，监理工程师违规情节严重的，注销注册证书，2年内不予注册；有违法所得的，予以追缴，并处1万元以下罚款；造成损失的，依法承担赔偿责任；构成犯罪的，依法追究刑事责任：（一）利用执（从）业上的便利，索取或者收受项目法人、被监理单位以及建筑材料、建筑构配件和设备供应单位财物的；（二）与被监理单位以及建筑材料、建筑构配件和设备供应单位串通，谋取不正当利益的；（三）非法泄露执（从）业中应当保守的秘密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降低监理单位资质等级、吊销监理单位资质等级证书的处罚以及注销监理工程师注册证书，由水利部决定；其他行政处罚，由有关水行政主管部门依照法定职权决定。</w:t>
            </w:r>
          </w:p>
        </w:tc>
        <w:tc>
          <w:tcPr>
            <w:tcW w:w="4075" w:type="dxa"/>
            <w:shd w:val="clear" w:color="auto" w:fill="auto"/>
            <w:tcMar>
              <w:top w:w="10" w:type="dxa"/>
              <w:left w:w="10" w:type="dxa"/>
              <w:right w:w="10" w:type="dxa"/>
            </w:tcMar>
            <w:vAlign w:val="center"/>
          </w:tcPr>
          <w:p w14:paraId="0E9A73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614A16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3D25DA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CDF4F0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8901B5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B8B92A7">
            <w:pPr>
              <w:jc w:val="center"/>
              <w:rPr>
                <w:rFonts w:hint="default" w:ascii="仿宋_GB2312" w:hAnsi="宋体" w:eastAsia="仿宋_GB2312" w:cs="仿宋_GB2312"/>
                <w:i w:val="0"/>
                <w:iCs w:val="0"/>
                <w:strike w:val="0"/>
                <w:dstrike w:val="0"/>
                <w:color w:val="auto"/>
                <w:sz w:val="21"/>
                <w:szCs w:val="21"/>
                <w:u w:val="none"/>
              </w:rPr>
            </w:pPr>
          </w:p>
        </w:tc>
      </w:tr>
      <w:tr w14:paraId="3F6D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FB1480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56 </w:t>
            </w:r>
          </w:p>
        </w:tc>
        <w:tc>
          <w:tcPr>
            <w:tcW w:w="775" w:type="dxa"/>
            <w:shd w:val="clear" w:color="auto" w:fill="auto"/>
            <w:tcMar>
              <w:top w:w="10" w:type="dxa"/>
              <w:left w:w="10" w:type="dxa"/>
              <w:right w:w="10" w:type="dxa"/>
            </w:tcMar>
            <w:vAlign w:val="center"/>
          </w:tcPr>
          <w:p w14:paraId="7852C5F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B79768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对水利领域施工单位违反工程建设强制性标准行为的行政处罚</w:t>
            </w:r>
          </w:p>
        </w:tc>
        <w:tc>
          <w:tcPr>
            <w:tcW w:w="548" w:type="dxa"/>
            <w:shd w:val="clear" w:color="auto" w:fill="auto"/>
            <w:tcMar>
              <w:top w:w="10" w:type="dxa"/>
              <w:left w:w="10" w:type="dxa"/>
              <w:right w:w="10" w:type="dxa"/>
            </w:tcMar>
            <w:vAlign w:val="center"/>
          </w:tcPr>
          <w:p w14:paraId="31739C6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B6C660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0659E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0995248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1.【部门规章】《实施工程建设强制性标准监督规定》（2000年8月25日中华人民共和国建设部令第81号发布，2021年第二次修正）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第十八条 施工单位违反工程建设强制性标准的，责令改正，处工程合同价款2%以上4%以下的罚款；造成建设工程质量不符合规定的质量标准的，负责返工、修理，并赔偿因此造成的损失；情节严重的，责令停业整顿，降低资质等级或者吊销资质证书。</w:t>
            </w:r>
          </w:p>
        </w:tc>
        <w:tc>
          <w:tcPr>
            <w:tcW w:w="4075" w:type="dxa"/>
            <w:shd w:val="clear" w:color="auto" w:fill="auto"/>
            <w:tcMar>
              <w:top w:w="10" w:type="dxa"/>
              <w:left w:w="10" w:type="dxa"/>
              <w:right w:w="10" w:type="dxa"/>
            </w:tcMar>
            <w:vAlign w:val="center"/>
          </w:tcPr>
          <w:p w14:paraId="5C07C1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3889AB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BAC217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1A2A93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0B0E6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EEBC6D0">
            <w:pPr>
              <w:jc w:val="center"/>
              <w:rPr>
                <w:rFonts w:hint="default" w:ascii="仿宋_GB2312" w:hAnsi="宋体" w:eastAsia="仿宋_GB2312" w:cs="仿宋_GB2312"/>
                <w:i w:val="0"/>
                <w:iCs w:val="0"/>
                <w:strike w:val="0"/>
                <w:dstrike w:val="0"/>
                <w:color w:val="auto"/>
                <w:sz w:val="21"/>
                <w:szCs w:val="21"/>
                <w:u w:val="none"/>
              </w:rPr>
            </w:pPr>
          </w:p>
        </w:tc>
      </w:tr>
      <w:tr w14:paraId="6435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FF13E7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57 </w:t>
            </w:r>
          </w:p>
        </w:tc>
        <w:tc>
          <w:tcPr>
            <w:tcW w:w="775" w:type="dxa"/>
            <w:shd w:val="clear" w:color="auto" w:fill="auto"/>
            <w:tcMar>
              <w:top w:w="10" w:type="dxa"/>
              <w:left w:w="10" w:type="dxa"/>
              <w:right w:w="10" w:type="dxa"/>
            </w:tcMar>
            <w:vAlign w:val="center"/>
          </w:tcPr>
          <w:p w14:paraId="36E3DC1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01EF8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对水利领域勘察、设计、施工、监理、质量检测单位超越本单位资质等级承揽工程或者未取得资质证书承揽工程等行为的行政处罚</w:t>
            </w:r>
          </w:p>
        </w:tc>
        <w:tc>
          <w:tcPr>
            <w:tcW w:w="548" w:type="dxa"/>
            <w:shd w:val="clear" w:color="auto" w:fill="auto"/>
            <w:tcMar>
              <w:top w:w="10" w:type="dxa"/>
              <w:left w:w="10" w:type="dxa"/>
              <w:right w:w="10" w:type="dxa"/>
            </w:tcMar>
            <w:vAlign w:val="center"/>
          </w:tcPr>
          <w:p w14:paraId="7719A87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8F6F49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BA625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4B5B90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 发包单位将工程发包给不具有相应资质条件的承包单位的，或者违反本法规定将建筑工程肢解发包的，责令改正，处以罚款。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超越本单位资质等级承揽工程的，责令停止违法行为，处以罚款，可以责令停业整顿，降低资质等级；情节严重的，吊销资质证书；有违法所得的，予以没收。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未取得资质证书承揽工程的，予以取缔，并处罚款；有违法所得的，予以没收。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以欺骗手段取得资质证书的，吊销资质证书，处以罚款；构成犯罪的，依法追究刑事责任。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未取得资质证书承揽工程的，予以取缔，依照前款规定处以罚款；有违法所得的，予以没收。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以欺骗手段取得资质证书承揽工程的，吊销资质证书，依照本条第一款规定处以罚款；有违法所得的，予以没收。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第八条 建设工程勘察、设计单位应当在其资质等级许可的范围内承揽建设工程勘察、设计业务。</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违反本条例第八条规定的，责令停止违法行为，处合同约定的勘察费、设计费1倍以上2倍以下的罚款，有违法所得的，予以没收；可以责令停业整顿，降低资质等级；情节严重的，吊销资质证书。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未取得资质证书承揽工程的，予以取缔，依照前款规定处以罚款；有违法所得的，予以没收。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以欺骗手段取得资质证书承揽工程的，吊销资质证书，依照本条第一款规定处以罚款；有违法所得的，予以没收。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第六十二条 违反本规定，勘察、设计、施工、监理单位超越本单位资质等级承揽工程的，依照《建设工程质量管理条例》第六十条规定，由水行政主管部门或者流域管理机构依据职权责令停止违法行为，对勘察、设计或者监理单位处合同约定的勘察费、设计费或者监理酬金1倍以上2倍以下的罚款；对施工单位处工程合同价款2%以上4%以下的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有关单位违反本规定，依法应当责令停业整顿、降低资质等级或者吊销资质证书的，依照《建设工程质量管理条例》第七十五条、《建设工程勘察设计管理条例》第四十二条的规定处罚。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监理单位有下列行为之一的，依照《建设工程质量管理条例》第六十条、第六十一条、第六十二条、第六十七条、第六十八条处罚：（一）超越本单位资质等级许可的业务范围承揽监理业务的；（二）未取得相应资质等级证书承揽监理业务的；（三）以欺骗手段取得的资质等级证书承揽监理业务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第二十四条 违反本规定，未取得相应的资质，擅自承担检测业务的，其检测报告无效，由县级以上人民政府水行政主管部门责令改正，可并处1万元以上3万元以下的罚款。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第二十六条 以欺骗、贿赂等不正当手段取得《资质等级证书》的，由审批机关予以撤销，3年内不得再次申请，可并处1万元以上3万元以下的罚款；构成犯罪的，依法追究刑事责任。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检测单位违反本规定，有下列行为之一的，由县级以上人民政府水行政主管部门责令改正，有违法所得的，没收违法所得，可并处1万元以上3万元以下的罚款；构成犯罪的，依法追究刑事责任：（一）超出资质等级范围从事检测活动的；（二）涂改、倒卖、出租、出借或者以其他形式非法转让《资质等级证书》的；</w:t>
            </w:r>
          </w:p>
        </w:tc>
        <w:tc>
          <w:tcPr>
            <w:tcW w:w="4075" w:type="dxa"/>
            <w:shd w:val="clear" w:color="auto" w:fill="auto"/>
            <w:tcMar>
              <w:top w:w="10" w:type="dxa"/>
              <w:left w:w="10" w:type="dxa"/>
              <w:right w:w="10" w:type="dxa"/>
            </w:tcMar>
            <w:vAlign w:val="center"/>
          </w:tcPr>
          <w:p w14:paraId="07416A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39D413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2E54D3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C20DCF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A83C89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66DDC5F">
            <w:pPr>
              <w:jc w:val="center"/>
              <w:rPr>
                <w:rFonts w:hint="default" w:ascii="仿宋_GB2312" w:hAnsi="宋体" w:eastAsia="仿宋_GB2312" w:cs="仿宋_GB2312"/>
                <w:i w:val="0"/>
                <w:iCs w:val="0"/>
                <w:strike w:val="0"/>
                <w:dstrike w:val="0"/>
                <w:color w:val="auto"/>
                <w:sz w:val="21"/>
                <w:szCs w:val="21"/>
                <w:u w:val="none"/>
              </w:rPr>
            </w:pPr>
          </w:p>
        </w:tc>
      </w:tr>
      <w:tr w14:paraId="5BFD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044518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58 </w:t>
            </w:r>
          </w:p>
        </w:tc>
        <w:tc>
          <w:tcPr>
            <w:tcW w:w="775" w:type="dxa"/>
            <w:shd w:val="clear" w:color="auto" w:fill="auto"/>
            <w:tcMar>
              <w:top w:w="10" w:type="dxa"/>
              <w:left w:w="10" w:type="dxa"/>
              <w:right w:w="10" w:type="dxa"/>
            </w:tcMar>
            <w:vAlign w:val="center"/>
          </w:tcPr>
          <w:p w14:paraId="7EFFD0D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147AD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对未按规定办理安全监督手续行为的行政处罚</w:t>
            </w:r>
          </w:p>
        </w:tc>
        <w:tc>
          <w:tcPr>
            <w:tcW w:w="548" w:type="dxa"/>
            <w:shd w:val="clear" w:color="auto" w:fill="auto"/>
            <w:tcMar>
              <w:top w:w="10" w:type="dxa"/>
              <w:left w:w="10" w:type="dxa"/>
              <w:right w:w="10" w:type="dxa"/>
            </w:tcMar>
            <w:vAlign w:val="center"/>
          </w:tcPr>
          <w:p w14:paraId="5881468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820248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83B54A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77016E6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1.【地方性法规】《广西壮族自治区建筑市场管理条例》（1996年自治区第八届人民代表大会常务委员会第二十三次会议通过，2016年第四次修正）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违反本条例规定，未按规定办理报建、安全监督手续的，由县级以上建设行政主管部门责令停止施工、限期补办手续，可并处5000元以上50000元以下的罚款。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本条例第三十五条、第三十六条、第三十七条的行政处罚，属国家和自治区重点建设专业工程的，由县级以上人民政府工业、交通、水利等有关行政主管部门作出决定。</w:t>
            </w:r>
          </w:p>
        </w:tc>
        <w:tc>
          <w:tcPr>
            <w:tcW w:w="4075" w:type="dxa"/>
            <w:shd w:val="clear" w:color="auto" w:fill="auto"/>
            <w:tcMar>
              <w:top w:w="10" w:type="dxa"/>
              <w:left w:w="10" w:type="dxa"/>
              <w:right w:w="10" w:type="dxa"/>
            </w:tcMar>
            <w:vAlign w:val="center"/>
          </w:tcPr>
          <w:p w14:paraId="590A250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27308A7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A76B7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5EBF92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3CA00E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9C5A3DB">
            <w:pPr>
              <w:jc w:val="center"/>
              <w:rPr>
                <w:rFonts w:hint="default" w:ascii="仿宋_GB2312" w:hAnsi="宋体" w:eastAsia="仿宋_GB2312" w:cs="仿宋_GB2312"/>
                <w:i w:val="0"/>
                <w:iCs w:val="0"/>
                <w:strike w:val="0"/>
                <w:dstrike w:val="0"/>
                <w:color w:val="auto"/>
                <w:sz w:val="21"/>
                <w:szCs w:val="21"/>
                <w:u w:val="none"/>
              </w:rPr>
            </w:pPr>
          </w:p>
        </w:tc>
      </w:tr>
      <w:tr w14:paraId="4818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55C55B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59 </w:t>
            </w:r>
          </w:p>
        </w:tc>
        <w:tc>
          <w:tcPr>
            <w:tcW w:w="775" w:type="dxa"/>
            <w:shd w:val="clear" w:color="auto" w:fill="auto"/>
            <w:tcMar>
              <w:top w:w="10" w:type="dxa"/>
              <w:left w:w="10" w:type="dxa"/>
              <w:right w:w="10" w:type="dxa"/>
            </w:tcMar>
            <w:vAlign w:val="center"/>
          </w:tcPr>
          <w:p w14:paraId="0EC426B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5DDF0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对水利领域从事建设工程监理、质量检测、咨询、招标投标代理等中介服务活动的机构不按照其资质等级和经营范围开展中介服务活动行为的行政处罚</w:t>
            </w:r>
          </w:p>
        </w:tc>
        <w:tc>
          <w:tcPr>
            <w:tcW w:w="548" w:type="dxa"/>
            <w:shd w:val="clear" w:color="auto" w:fill="auto"/>
            <w:tcMar>
              <w:top w:w="10" w:type="dxa"/>
              <w:left w:w="10" w:type="dxa"/>
              <w:right w:w="10" w:type="dxa"/>
            </w:tcMar>
            <w:vAlign w:val="center"/>
          </w:tcPr>
          <w:p w14:paraId="7A449BB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04DA20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5997F1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3024F5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1.【地方性法规】《广西壮族自治区建筑市场管理条例》（1996年自治区第八届人民代表大会常务委员会第二十三次会议通过，2016年第四次修正）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从事建设工程监理、质量检测、咨询、招标投标代理等中介服务活动的机构，应当按照其资质等级和经营范围开展中介服务活动。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违反本条例第十六条、第二十一条规定的，由县级以上建设行政主管部门没收其违法所得，可并处违法所得5倍以下罚款；构成犯罪的，依法追究刑事责任。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本条例第三十五条、第三十六条、第三十七条的行政处罚，属国家和自治区重点建设专业工程的，由县级以上人民政府工业、交通、水利等有关行政主管部门作出决定。</w:t>
            </w:r>
          </w:p>
        </w:tc>
        <w:tc>
          <w:tcPr>
            <w:tcW w:w="4075" w:type="dxa"/>
            <w:shd w:val="clear" w:color="auto" w:fill="auto"/>
            <w:tcMar>
              <w:top w:w="10" w:type="dxa"/>
              <w:left w:w="10" w:type="dxa"/>
              <w:right w:w="10" w:type="dxa"/>
            </w:tcMar>
            <w:vAlign w:val="center"/>
          </w:tcPr>
          <w:p w14:paraId="760AC0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DC46A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9CFAAF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82D93C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D0C0D1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C94C98E">
            <w:pPr>
              <w:jc w:val="center"/>
              <w:rPr>
                <w:rFonts w:hint="default" w:ascii="仿宋_GB2312" w:hAnsi="宋体" w:eastAsia="仿宋_GB2312" w:cs="仿宋_GB2312"/>
                <w:i w:val="0"/>
                <w:iCs w:val="0"/>
                <w:strike w:val="0"/>
                <w:dstrike w:val="0"/>
                <w:color w:val="auto"/>
                <w:sz w:val="21"/>
                <w:szCs w:val="21"/>
                <w:u w:val="none"/>
              </w:rPr>
            </w:pPr>
          </w:p>
        </w:tc>
      </w:tr>
      <w:tr w14:paraId="334B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25022D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60 </w:t>
            </w:r>
          </w:p>
        </w:tc>
        <w:tc>
          <w:tcPr>
            <w:tcW w:w="775" w:type="dxa"/>
            <w:shd w:val="clear" w:color="auto" w:fill="auto"/>
            <w:tcMar>
              <w:top w:w="10" w:type="dxa"/>
              <w:left w:w="10" w:type="dxa"/>
              <w:right w:w="10" w:type="dxa"/>
            </w:tcMar>
            <w:vAlign w:val="center"/>
          </w:tcPr>
          <w:p w14:paraId="78139C1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7B858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对水利领域必须进行招标的项目而不招标的，将必须进行招标的项目化整为零或者以其他任何方式规避招标行为的行政处罚</w:t>
            </w:r>
          </w:p>
        </w:tc>
        <w:tc>
          <w:tcPr>
            <w:tcW w:w="548" w:type="dxa"/>
            <w:shd w:val="clear" w:color="auto" w:fill="auto"/>
            <w:tcMar>
              <w:top w:w="10" w:type="dxa"/>
              <w:left w:w="10" w:type="dxa"/>
              <w:right w:w="10" w:type="dxa"/>
            </w:tcMar>
            <w:vAlign w:val="center"/>
          </w:tcPr>
          <w:p w14:paraId="30AACA0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2ED4CC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EDCD7C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471AB19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第六十三条第二款 依法必须进行招标的项目的招标人不按照规定发布资格预审公告或者招标公告，构成规避招标的，依照招标投标法第四十九条的规定处罚。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第六十八条 依法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w:t>
            </w:r>
          </w:p>
        </w:tc>
        <w:tc>
          <w:tcPr>
            <w:tcW w:w="4075" w:type="dxa"/>
            <w:shd w:val="clear" w:color="auto" w:fill="auto"/>
            <w:tcMar>
              <w:top w:w="10" w:type="dxa"/>
              <w:left w:w="10" w:type="dxa"/>
              <w:right w:w="10" w:type="dxa"/>
            </w:tcMar>
            <w:vAlign w:val="center"/>
          </w:tcPr>
          <w:p w14:paraId="3815039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E9208F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EEF5B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29719A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594120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E65242A">
            <w:pPr>
              <w:jc w:val="center"/>
              <w:rPr>
                <w:rFonts w:hint="default" w:ascii="仿宋_GB2312" w:hAnsi="宋体" w:eastAsia="仿宋_GB2312" w:cs="仿宋_GB2312"/>
                <w:i w:val="0"/>
                <w:iCs w:val="0"/>
                <w:strike w:val="0"/>
                <w:dstrike w:val="0"/>
                <w:color w:val="auto"/>
                <w:sz w:val="21"/>
                <w:szCs w:val="21"/>
                <w:u w:val="none"/>
              </w:rPr>
            </w:pPr>
          </w:p>
        </w:tc>
      </w:tr>
      <w:tr w14:paraId="5923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6E07D6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61 </w:t>
            </w:r>
          </w:p>
        </w:tc>
        <w:tc>
          <w:tcPr>
            <w:tcW w:w="775" w:type="dxa"/>
            <w:shd w:val="clear" w:color="auto" w:fill="auto"/>
            <w:tcMar>
              <w:top w:w="10" w:type="dxa"/>
              <w:left w:w="10" w:type="dxa"/>
              <w:right w:w="10" w:type="dxa"/>
            </w:tcMar>
            <w:vAlign w:val="center"/>
          </w:tcPr>
          <w:p w14:paraId="5CDAFCE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2E7435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对水利领域招标人依法应当公开招标而采用邀请招标，接受未通过资格预审的单位或者个人参加投标等行为的行政处罚</w:t>
            </w:r>
          </w:p>
        </w:tc>
        <w:tc>
          <w:tcPr>
            <w:tcW w:w="548" w:type="dxa"/>
            <w:shd w:val="clear" w:color="auto" w:fill="auto"/>
            <w:tcMar>
              <w:top w:w="10" w:type="dxa"/>
              <w:left w:w="10" w:type="dxa"/>
              <w:right w:w="10" w:type="dxa"/>
            </w:tcMar>
            <w:vAlign w:val="center"/>
          </w:tcPr>
          <w:p w14:paraId="705B9F0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78782D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CEDAC9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69AB62D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第六十四条 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本条例规定；（三）接受未通过资格预审的单位或者个人参加投标；（四）接受应当拒收的投标文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招标人有前款第一项、第三项、第四项所列行为之一的，对单位直接负责的主管人员和其他直接责任人员依法给予处分。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2.【部门规章】《工程建设项目勘察设计招标投标办法》《工程建设项目勘察设计招标投标办法》（2003年国家发改委等8部委令第2号发布，2013年国家发改委等9部委令第23号修订）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第五十一条 招标人有下列情形之一的，由有关行政监督部门责令改正，可以处10万元以下的罚款：（一）依法应当公开招标而采用邀请招标；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招标人有前款第一项、第三项、第四项所列行为之一的，对单位直接负责的主管人员和其他直接责任人员依法给予处分。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3.【部门规章】《工程建设项目货物招标投标办法》（2005年国家发改委等7部委令第27号公布，2013年国家发改委等7部委令第23号修订）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招标人有前款第一项、第三项、第四项所列行为之一的，对单位直接负责的主管人员和其他直接责任人员依法给予处分。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第七十三条第三款 招标人有前款第一项、第三项、第四项所列行为之一的，对单位直接负责的主管人员和其他直接责任人员依法给予处分。</w:t>
            </w:r>
          </w:p>
        </w:tc>
        <w:tc>
          <w:tcPr>
            <w:tcW w:w="4075" w:type="dxa"/>
            <w:shd w:val="clear" w:color="auto" w:fill="auto"/>
            <w:tcMar>
              <w:top w:w="10" w:type="dxa"/>
              <w:left w:w="10" w:type="dxa"/>
              <w:right w:w="10" w:type="dxa"/>
            </w:tcMar>
            <w:vAlign w:val="center"/>
          </w:tcPr>
          <w:p w14:paraId="13299F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2FFB8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8AE700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78F958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F69C65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DA2C473">
            <w:pPr>
              <w:jc w:val="center"/>
              <w:rPr>
                <w:rFonts w:hint="default" w:ascii="仿宋_GB2312" w:hAnsi="宋体" w:eastAsia="仿宋_GB2312" w:cs="仿宋_GB2312"/>
                <w:i w:val="0"/>
                <w:iCs w:val="0"/>
                <w:strike w:val="0"/>
                <w:dstrike w:val="0"/>
                <w:color w:val="auto"/>
                <w:sz w:val="21"/>
                <w:szCs w:val="21"/>
                <w:u w:val="none"/>
              </w:rPr>
            </w:pPr>
          </w:p>
        </w:tc>
      </w:tr>
      <w:tr w14:paraId="6CD0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C6D0C1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62 </w:t>
            </w:r>
          </w:p>
        </w:tc>
        <w:tc>
          <w:tcPr>
            <w:tcW w:w="775" w:type="dxa"/>
            <w:shd w:val="clear" w:color="auto" w:fill="auto"/>
            <w:tcMar>
              <w:top w:w="10" w:type="dxa"/>
              <w:left w:w="10" w:type="dxa"/>
              <w:right w:w="10" w:type="dxa"/>
            </w:tcMar>
            <w:vAlign w:val="center"/>
          </w:tcPr>
          <w:p w14:paraId="5D6310B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BA2090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对水利领域招标人超过规定的比例收取投标保证金、履约保证金或者不按照规定退还投标保证金及银行同期存款利息行为的行政处罚</w:t>
            </w:r>
          </w:p>
        </w:tc>
        <w:tc>
          <w:tcPr>
            <w:tcW w:w="548" w:type="dxa"/>
            <w:shd w:val="clear" w:color="auto" w:fill="auto"/>
            <w:tcMar>
              <w:top w:w="10" w:type="dxa"/>
              <w:left w:w="10" w:type="dxa"/>
              <w:right w:w="10" w:type="dxa"/>
            </w:tcMar>
            <w:vAlign w:val="center"/>
          </w:tcPr>
          <w:p w14:paraId="00DA4F2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EBBF83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72E0B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FD951A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第六十六条 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4075" w:type="dxa"/>
            <w:shd w:val="clear" w:color="auto" w:fill="auto"/>
            <w:tcMar>
              <w:top w:w="10" w:type="dxa"/>
              <w:left w:w="10" w:type="dxa"/>
              <w:right w:w="10" w:type="dxa"/>
            </w:tcMar>
            <w:vAlign w:val="center"/>
          </w:tcPr>
          <w:p w14:paraId="7C9B9C6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1F6F5E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C03C3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65BBB5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10AA36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8772F61">
            <w:pPr>
              <w:jc w:val="center"/>
              <w:rPr>
                <w:rFonts w:hint="default" w:ascii="仿宋_GB2312" w:hAnsi="宋体" w:eastAsia="仿宋_GB2312" w:cs="仿宋_GB2312"/>
                <w:i w:val="0"/>
                <w:iCs w:val="0"/>
                <w:strike w:val="0"/>
                <w:dstrike w:val="0"/>
                <w:color w:val="auto"/>
                <w:sz w:val="21"/>
                <w:szCs w:val="21"/>
                <w:u w:val="none"/>
              </w:rPr>
            </w:pPr>
          </w:p>
        </w:tc>
      </w:tr>
      <w:tr w14:paraId="1DF4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0AAF46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63 </w:t>
            </w:r>
          </w:p>
        </w:tc>
        <w:tc>
          <w:tcPr>
            <w:tcW w:w="775" w:type="dxa"/>
            <w:shd w:val="clear" w:color="auto" w:fill="auto"/>
            <w:tcMar>
              <w:top w:w="10" w:type="dxa"/>
              <w:left w:w="10" w:type="dxa"/>
              <w:right w:w="10" w:type="dxa"/>
            </w:tcMar>
            <w:vAlign w:val="center"/>
          </w:tcPr>
          <w:p w14:paraId="78F8B55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AC33BB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对水利领域招标人以不合理的条件限制或者排斥潜在投标人，对潜在投标人实行歧视待遇，强制要求投标人组成联合体共同投标，或者限制投标人之间竞争等行为的行政处罚</w:t>
            </w:r>
          </w:p>
        </w:tc>
        <w:tc>
          <w:tcPr>
            <w:tcW w:w="548" w:type="dxa"/>
            <w:shd w:val="clear" w:color="auto" w:fill="auto"/>
            <w:tcMar>
              <w:top w:w="10" w:type="dxa"/>
              <w:left w:w="10" w:type="dxa"/>
              <w:right w:w="10" w:type="dxa"/>
            </w:tcMar>
            <w:vAlign w:val="center"/>
          </w:tcPr>
          <w:p w14:paraId="179CACF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01DAFA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0EE34B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4C1738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第五十一条 招标人以不合理的条件限制或者排斥潜在投标人的，对潜在投标人实行歧视待遇的，强制要求投标人组成联合体共同投标的，或者限制投标人之间竞争的，责令改正，可以处一万元以上五万元以下的罚款。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第六十三条第一款 招标人有下列限制或者排斥潜在投标人行为之一的，由有关行政监督部门依照招标投标法第五十一条的规定处罚：（一）依法应当公开招标的项目不按照规定在指定媒介发布资格预审公告或者招标公告；（二）在不同媒介发布的同一招标项目的资格预审公告或者招标公告的内容不一致，影响潜在投标人申请资格预审或者投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3.【部门规章】《工程建设项目勘察设计招标投标办法》《工程建设项目勘察设计招标投标办法》（2003年国家发改委等8部委令第2号发布，2013年国家发改委等9部委令第23号修订）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第五十条 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一）依法必须公开招标的项目不按照规定在指定媒介发布资格预审公告或者招标公告；（二）在不同媒介发布的同一招标项目的资格预审公告或者招标公告的内容不一致，影响潜在投标人申请资格预审或者投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第五十三条第一款 招标人以抽签、摇号等不合理的条件限制或者排斥资格预审合格的潜在投标人参加投标，对潜在投标人实行歧视待遇的，强制要求投标人组成联合体共同投标的，或者限制投标人之间竞争的，责令改正，可以处一万元以上五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第七十条 招标人以不合理的条件限制或者排斥潜在投标人的，对潜在投标人实行歧视待遇的，强制要求投标人组成联合体共同投标的，或者限制投标人之间竞争的，有关行政监督部门责令改正，可处一万元以上五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第七十三条第一款 招标人有下列限制或者排斥潜在投标人行为之一的，由有关行政监督部门依照招标投标法第五十一条的规定处罚；其中，构成依法必须进行施工招标的项目的招标人规避招标的，依照招标投标法第四十九条的规定处罚：（一）依法应当公开招标的项目不按照规定在指定媒介发布资格预审公告或者招标公告；（二）在不同媒介发布的同一招标项目的资格预审公告或者招标公告的内容不一致，影响潜在投标人申请资格预审或者投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5.【部门规章】《工程建设项目货物招标投标办法》（2005年国家发改委等7部委令第27号公布，2013年国家发改委等7部委令第23号修订）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招标人有下列限制或者排斥潜在投标行为之一的，由有关行政监督部门依照招标投标法第五十一条的规定处罚；其中，构成依法必须进行招标的项目的招标人规避招标的，依照招标投标法第四十九条的规定处罚：（一）依法应当公开招标的项目不按照规定在指定媒介发布资格预审公告或者招标公告；（二）在不同媒介发布的同一招标项目的资格预审公告或者招标公告内容不一致，影响潜在投标人申请资格预审或者投标。</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6.【部门规章】《电子招标投标办法》（2013年国家发改委等8部委令第20号公布）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招标人或者电子招标投标系统运营机构存在以下情形的，视为限制或者排斥潜在投标人，依照招标投标法第五十一条规定处罚。（一）利用技术手段对享有相同权限的市场主体提供有差别的信息；（二）拒绝或者限制社会公众、市场主体免费注册并获取依法必须公开的招标投标信息；（三）违规设置注册登记、投标报名等前置条件；（四）故意与各类需要分离开发并符合技术规范规定的工具软件不兼容对接；（五）故意对递交或者解密投标文件设置障碍。</w:t>
            </w:r>
          </w:p>
        </w:tc>
        <w:tc>
          <w:tcPr>
            <w:tcW w:w="4075" w:type="dxa"/>
            <w:shd w:val="clear" w:color="auto" w:fill="auto"/>
            <w:tcMar>
              <w:top w:w="10" w:type="dxa"/>
              <w:left w:w="10" w:type="dxa"/>
              <w:right w:w="10" w:type="dxa"/>
            </w:tcMar>
            <w:vAlign w:val="center"/>
          </w:tcPr>
          <w:p w14:paraId="1B06021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663C963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613840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21EEF7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AD5D98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953EA86">
            <w:pPr>
              <w:jc w:val="center"/>
              <w:rPr>
                <w:rFonts w:hint="default" w:ascii="仿宋_GB2312" w:hAnsi="宋体" w:eastAsia="仿宋_GB2312" w:cs="仿宋_GB2312"/>
                <w:i w:val="0"/>
                <w:iCs w:val="0"/>
                <w:strike w:val="0"/>
                <w:dstrike w:val="0"/>
                <w:color w:val="auto"/>
                <w:sz w:val="21"/>
                <w:szCs w:val="21"/>
                <w:u w:val="none"/>
              </w:rPr>
            </w:pPr>
          </w:p>
        </w:tc>
      </w:tr>
      <w:tr w14:paraId="1709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6AE614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64 </w:t>
            </w:r>
          </w:p>
        </w:tc>
        <w:tc>
          <w:tcPr>
            <w:tcW w:w="775" w:type="dxa"/>
            <w:shd w:val="clear" w:color="auto" w:fill="auto"/>
            <w:tcMar>
              <w:top w:w="10" w:type="dxa"/>
              <w:left w:w="10" w:type="dxa"/>
              <w:right w:w="10" w:type="dxa"/>
            </w:tcMar>
            <w:vAlign w:val="center"/>
          </w:tcPr>
          <w:p w14:paraId="440AA84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BB9BE9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对水利领域依法必须进行招标的项目，招标人向他人透露已获取招标文件的潜在投标人名称、数量或者可能影响公平竞争的有关招标投标其他情况，或者泄露标底等行为的行政处罚</w:t>
            </w:r>
          </w:p>
        </w:tc>
        <w:tc>
          <w:tcPr>
            <w:tcW w:w="548" w:type="dxa"/>
            <w:shd w:val="clear" w:color="auto" w:fill="auto"/>
            <w:tcMar>
              <w:top w:w="10" w:type="dxa"/>
              <w:left w:w="10" w:type="dxa"/>
              <w:right w:w="10" w:type="dxa"/>
            </w:tcMar>
            <w:vAlign w:val="center"/>
          </w:tcPr>
          <w:p w14:paraId="50F4D19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2DC6AD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F4253D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6280ADA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第五十二条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前款所列行为影响中标结果的，中标无效。</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第七十一条 依法必须进行招标项目的招标人向他人透露已获取招标文件的潜在投标人的名称、数量或者可能影响公平竞争的有关招标投标的其他情况的，或者泄露标底的，有关行政监督部门给予警告，可以并处一万元以上十万元以下的罚款；对单位直接负责的主管人员和其他直接责任人员依法给予处分；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前款所列行为影响中标结果的，中标无效。</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3.【部门规章】《电子招标投标办法》（2013年国家发改委等8部委令第20号公布）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电子招标投标系统运营机构向他人透露已获取招标文件的潜在投标人的名称、数量、投标文件内容或者对投标文件的评审和比较以及其他可能影响公平竞争的招标投标信息，参照招标投标法第五十二条关于招标人泄密的规定予以处罚。</w:t>
            </w:r>
          </w:p>
        </w:tc>
        <w:tc>
          <w:tcPr>
            <w:tcW w:w="4075" w:type="dxa"/>
            <w:shd w:val="clear" w:color="auto" w:fill="auto"/>
            <w:tcMar>
              <w:top w:w="10" w:type="dxa"/>
              <w:left w:w="10" w:type="dxa"/>
              <w:right w:w="10" w:type="dxa"/>
            </w:tcMar>
            <w:vAlign w:val="center"/>
          </w:tcPr>
          <w:p w14:paraId="53432B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F7B2BC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3DE07D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24FBFF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E56E9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9B94391">
            <w:pPr>
              <w:jc w:val="center"/>
              <w:rPr>
                <w:rFonts w:hint="default" w:ascii="仿宋_GB2312" w:hAnsi="宋体" w:eastAsia="仿宋_GB2312" w:cs="仿宋_GB2312"/>
                <w:i w:val="0"/>
                <w:iCs w:val="0"/>
                <w:strike w:val="0"/>
                <w:dstrike w:val="0"/>
                <w:color w:val="auto"/>
                <w:sz w:val="21"/>
                <w:szCs w:val="21"/>
                <w:u w:val="none"/>
              </w:rPr>
            </w:pPr>
          </w:p>
        </w:tc>
      </w:tr>
      <w:tr w14:paraId="5E9C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FD948B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65 </w:t>
            </w:r>
          </w:p>
        </w:tc>
        <w:tc>
          <w:tcPr>
            <w:tcW w:w="775" w:type="dxa"/>
            <w:shd w:val="clear" w:color="auto" w:fill="auto"/>
            <w:tcMar>
              <w:top w:w="10" w:type="dxa"/>
              <w:left w:w="10" w:type="dxa"/>
              <w:right w:w="10" w:type="dxa"/>
            </w:tcMar>
            <w:vAlign w:val="center"/>
          </w:tcPr>
          <w:p w14:paraId="7B70FBE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23B42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对水利领域依法必须进行招标的项目，招标人违反规定与投标人就投标价格、投标方案等实质性内容进行谈判行为的行政处罚</w:t>
            </w:r>
          </w:p>
        </w:tc>
        <w:tc>
          <w:tcPr>
            <w:tcW w:w="548" w:type="dxa"/>
            <w:shd w:val="clear" w:color="auto" w:fill="auto"/>
            <w:tcMar>
              <w:top w:w="10" w:type="dxa"/>
              <w:left w:w="10" w:type="dxa"/>
              <w:right w:w="10" w:type="dxa"/>
            </w:tcMar>
            <w:vAlign w:val="center"/>
          </w:tcPr>
          <w:p w14:paraId="71B93CF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DB7801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A35F1E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466A580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第五十五条第一款 依法必须进行招标的项目，招标人违反本法规定，与投标人就投标价格、投标方案等实质性内容进行谈判的，给予警告，对单位直接负责的主管人员和其他直接责任人员依法给予处分。</w:t>
            </w:r>
          </w:p>
        </w:tc>
        <w:tc>
          <w:tcPr>
            <w:tcW w:w="4075" w:type="dxa"/>
            <w:shd w:val="clear" w:color="auto" w:fill="auto"/>
            <w:tcMar>
              <w:top w:w="10" w:type="dxa"/>
              <w:left w:w="10" w:type="dxa"/>
              <w:right w:w="10" w:type="dxa"/>
            </w:tcMar>
            <w:vAlign w:val="center"/>
          </w:tcPr>
          <w:p w14:paraId="081EE4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BA2CB8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0CFAA7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3974D3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E3281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C2CD9B9">
            <w:pPr>
              <w:jc w:val="center"/>
              <w:rPr>
                <w:rFonts w:hint="default" w:ascii="仿宋_GB2312" w:hAnsi="宋体" w:eastAsia="仿宋_GB2312" w:cs="仿宋_GB2312"/>
                <w:i w:val="0"/>
                <w:iCs w:val="0"/>
                <w:strike w:val="0"/>
                <w:dstrike w:val="0"/>
                <w:color w:val="auto"/>
                <w:sz w:val="21"/>
                <w:szCs w:val="21"/>
                <w:u w:val="none"/>
              </w:rPr>
            </w:pPr>
          </w:p>
        </w:tc>
      </w:tr>
      <w:tr w14:paraId="61CF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2881BA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66 </w:t>
            </w:r>
          </w:p>
        </w:tc>
        <w:tc>
          <w:tcPr>
            <w:tcW w:w="775" w:type="dxa"/>
            <w:shd w:val="clear" w:color="auto" w:fill="auto"/>
            <w:tcMar>
              <w:top w:w="10" w:type="dxa"/>
              <w:left w:w="10" w:type="dxa"/>
              <w:right w:w="10" w:type="dxa"/>
            </w:tcMar>
            <w:vAlign w:val="center"/>
          </w:tcPr>
          <w:p w14:paraId="4140B46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C4C36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对水利领域招标人在评标委员会依法推荐的中标候选人以外确定中标人，依法必须进行招标的项目在所有投标被评标委员会否决后自行确定中标人等行为的行政处罚</w:t>
            </w:r>
          </w:p>
        </w:tc>
        <w:tc>
          <w:tcPr>
            <w:tcW w:w="548" w:type="dxa"/>
            <w:shd w:val="clear" w:color="auto" w:fill="auto"/>
            <w:tcMar>
              <w:top w:w="10" w:type="dxa"/>
              <w:left w:w="10" w:type="dxa"/>
              <w:right w:w="10" w:type="dxa"/>
            </w:tcMar>
            <w:vAlign w:val="center"/>
          </w:tcPr>
          <w:p w14:paraId="0ACF9E3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01441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0C68E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23FE525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（二）不按照规定确定中标人；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3.【部门规章】《评标委员会和评标方法暂行规定》（2001年国家计委等第7部委令第12号发布,2013年国家发改委等9部委令第23号修正）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招标人有下列情形之一的，责令改正，可以处中标项目金额千分之十以下的罚款；给他人造成损失的，依法承担赔偿责任；对单位直接负责的主管人员和其他直接责任人员依法给予处分：（二）不按照规定确定中标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4.【部门规章】《工程建设项目货物招标投标办法》（2005年国家发改委等7部委令第27号公布，2013年国家发改委等7部委令第23号修订）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第五十八条第一款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二）不按照规定确定中标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二）不按照规定确定中标人；</w:t>
            </w:r>
          </w:p>
        </w:tc>
        <w:tc>
          <w:tcPr>
            <w:tcW w:w="4075" w:type="dxa"/>
            <w:shd w:val="clear" w:color="auto" w:fill="auto"/>
            <w:tcMar>
              <w:top w:w="10" w:type="dxa"/>
              <w:left w:w="10" w:type="dxa"/>
              <w:right w:w="10" w:type="dxa"/>
            </w:tcMar>
            <w:vAlign w:val="center"/>
          </w:tcPr>
          <w:p w14:paraId="7E04D9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19D10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3B8352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EE6D82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0C6EA5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8FCF49B">
            <w:pPr>
              <w:jc w:val="center"/>
              <w:rPr>
                <w:rFonts w:hint="default" w:ascii="仿宋_GB2312" w:hAnsi="宋体" w:eastAsia="仿宋_GB2312" w:cs="仿宋_GB2312"/>
                <w:i w:val="0"/>
                <w:iCs w:val="0"/>
                <w:strike w:val="0"/>
                <w:dstrike w:val="0"/>
                <w:color w:val="auto"/>
                <w:sz w:val="21"/>
                <w:szCs w:val="21"/>
                <w:u w:val="none"/>
              </w:rPr>
            </w:pPr>
          </w:p>
        </w:tc>
      </w:tr>
      <w:tr w14:paraId="0AB5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D1C122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67 </w:t>
            </w:r>
          </w:p>
        </w:tc>
        <w:tc>
          <w:tcPr>
            <w:tcW w:w="775" w:type="dxa"/>
            <w:shd w:val="clear" w:color="auto" w:fill="auto"/>
            <w:tcMar>
              <w:top w:w="10" w:type="dxa"/>
              <w:left w:w="10" w:type="dxa"/>
              <w:right w:w="10" w:type="dxa"/>
            </w:tcMar>
            <w:vAlign w:val="center"/>
          </w:tcPr>
          <w:p w14:paraId="558D85A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76232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对水利领域招标人与中标人不按照招标文件和中标人的投标文件订立合同，或者招标人、中标人订立背离合同实质性内容的协议等行为的行政处罚</w:t>
            </w:r>
          </w:p>
        </w:tc>
        <w:tc>
          <w:tcPr>
            <w:tcW w:w="548" w:type="dxa"/>
            <w:shd w:val="clear" w:color="auto" w:fill="auto"/>
            <w:tcMar>
              <w:top w:w="10" w:type="dxa"/>
              <w:left w:w="10" w:type="dxa"/>
              <w:right w:w="10" w:type="dxa"/>
            </w:tcMar>
            <w:vAlign w:val="center"/>
          </w:tcPr>
          <w:p w14:paraId="31D16F2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9B2CB8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FE42CA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0A2F6AA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第五十九条 招标人与中标人不按照招标文件和中标人的投标文件订立合同的，或者招标人、中标人订立背离合同实质性内容的协议的，责令改正；可以处中标项目金额千分之五以上千分之十以下的罚款。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3.【部门规章】《评标委员会和评标方法暂行规定》（2001年国家计委等第7部委令第12号发布,2013年国家发改委等9部委令第23号修正）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招标人与中标人不按照招标文件和中标人的投标文件订立合同的，合同的主要条款与招标文件、中标人的投标文件的内容不一致，或者招标人、中标人订立背离合同实质性内容的协议的，由有关行政监督部门责令改正，可以处中标项目金额千分之五以上千分之十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第八十三条 招标人与中标人不按照招标文件和中标人的投标文件订立合同的，合同的主要条款与招标文件、中标人的投标文件的内容不一致，或者招标人、中标人订立背离合同实质性内容的协议的，有关行政监督部门责令改正；可以处中标项目金额千分之五以上千分之十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5.【部门规章】《工程建设项目勘察设计招标投标办法》（2003年国家发改委等令第2号发布，2013年国家发改委等令第23号修订）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招标人与中标人不按照招标文件和中标人的投标文件订立合同，责令改正，可以处中标项目金额千分之五以上千分之十以下的罚款。</w:t>
            </w:r>
          </w:p>
        </w:tc>
        <w:tc>
          <w:tcPr>
            <w:tcW w:w="4075" w:type="dxa"/>
            <w:shd w:val="clear" w:color="auto" w:fill="auto"/>
            <w:tcMar>
              <w:top w:w="10" w:type="dxa"/>
              <w:left w:w="10" w:type="dxa"/>
              <w:right w:w="10" w:type="dxa"/>
            </w:tcMar>
            <w:vAlign w:val="center"/>
          </w:tcPr>
          <w:p w14:paraId="0C195D7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47B771E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07AD53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9E7BAC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A3EE9A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63517BA">
            <w:pPr>
              <w:jc w:val="center"/>
              <w:rPr>
                <w:rFonts w:hint="default" w:ascii="仿宋_GB2312" w:hAnsi="宋体" w:eastAsia="仿宋_GB2312" w:cs="仿宋_GB2312"/>
                <w:i w:val="0"/>
                <w:iCs w:val="0"/>
                <w:strike w:val="0"/>
                <w:dstrike w:val="0"/>
                <w:color w:val="auto"/>
                <w:sz w:val="21"/>
                <w:szCs w:val="21"/>
                <w:u w:val="none"/>
              </w:rPr>
            </w:pPr>
          </w:p>
        </w:tc>
      </w:tr>
      <w:tr w14:paraId="20F5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C8A94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68 </w:t>
            </w:r>
          </w:p>
        </w:tc>
        <w:tc>
          <w:tcPr>
            <w:tcW w:w="775" w:type="dxa"/>
            <w:shd w:val="clear" w:color="auto" w:fill="auto"/>
            <w:tcMar>
              <w:top w:w="10" w:type="dxa"/>
              <w:left w:w="10" w:type="dxa"/>
              <w:right w:w="10" w:type="dxa"/>
            </w:tcMar>
            <w:vAlign w:val="center"/>
          </w:tcPr>
          <w:p w14:paraId="64C4184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AA0570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对水利领域依法必须进行招标的项目，招标人无正当理由不发出中标通知书，中标通知书发出后无正当理由改变中标结果等行为的行政处罚</w:t>
            </w:r>
          </w:p>
        </w:tc>
        <w:tc>
          <w:tcPr>
            <w:tcW w:w="548" w:type="dxa"/>
            <w:shd w:val="clear" w:color="auto" w:fill="auto"/>
            <w:tcMar>
              <w:top w:w="10" w:type="dxa"/>
              <w:left w:w="10" w:type="dxa"/>
              <w:right w:w="10" w:type="dxa"/>
            </w:tcMar>
            <w:vAlign w:val="center"/>
          </w:tcPr>
          <w:p w14:paraId="4752B05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834CC9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E8FBA6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0D661A4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一）无正当理由不发出中标通知书；（三）中标通知书发出后无正当理由改变中标结果；（四）无正当理由不与中标人订立合同；（五）在订立合同时向中标人提出附加条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三）中标通知书发出后无正当理由改变中标结果；（四）无正当理由不与中标人订立合同；（五）在订立合同时向中标人提出附加条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3.【部门规章】《工程建设项目货物招标投标办法》（2005年国家发改委等7部委令第27号公布，2013年国家发改委等7部委令第23号修订）第五十八条第一款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三）中标通知书发出后无正当理由改变中标结果；（四）无正当理由不与中标人订立合同；（五）在订立合同时向中标人提出附加条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4.【部门规章】《评标委员会和评标方法暂行规定》（2001年国家计委等第7部委令第12号发布,2013年国家发改委等9部委令第23号修正）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招标人有下列情形之一的，责令改正，可以处中标项目金额千分之十以下的罚款；给他人造成损失的，依法承担赔偿责任；对单位直接负责的主管人员和其他直接责任人员依法给予处分：（一）无正当理由不发出中标通知书；（三）中标通知书发出后无正当理由改变中标结果；（四）无正当理由不与中标人订立合同；（五）在订立合同时向中标人提出附加条件。</w:t>
            </w:r>
          </w:p>
        </w:tc>
        <w:tc>
          <w:tcPr>
            <w:tcW w:w="4075" w:type="dxa"/>
            <w:shd w:val="clear" w:color="auto" w:fill="auto"/>
            <w:tcMar>
              <w:top w:w="10" w:type="dxa"/>
              <w:left w:w="10" w:type="dxa"/>
              <w:right w:w="10" w:type="dxa"/>
            </w:tcMar>
            <w:vAlign w:val="center"/>
          </w:tcPr>
          <w:p w14:paraId="273CB30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AB5301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BEB0C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9AAE12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58A041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7E6F21D">
            <w:pPr>
              <w:jc w:val="center"/>
              <w:rPr>
                <w:rFonts w:hint="default" w:ascii="仿宋_GB2312" w:hAnsi="宋体" w:eastAsia="仿宋_GB2312" w:cs="仿宋_GB2312"/>
                <w:i w:val="0"/>
                <w:iCs w:val="0"/>
                <w:strike w:val="0"/>
                <w:dstrike w:val="0"/>
                <w:color w:val="auto"/>
                <w:sz w:val="21"/>
                <w:szCs w:val="21"/>
                <w:u w:val="none"/>
              </w:rPr>
            </w:pPr>
          </w:p>
        </w:tc>
      </w:tr>
      <w:tr w14:paraId="73F8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9AB904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69 </w:t>
            </w:r>
          </w:p>
        </w:tc>
        <w:tc>
          <w:tcPr>
            <w:tcW w:w="775" w:type="dxa"/>
            <w:shd w:val="clear" w:color="auto" w:fill="auto"/>
            <w:tcMar>
              <w:top w:w="10" w:type="dxa"/>
              <w:left w:w="10" w:type="dxa"/>
              <w:right w:w="10" w:type="dxa"/>
            </w:tcMar>
            <w:vAlign w:val="center"/>
          </w:tcPr>
          <w:p w14:paraId="7F0FE35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CE6099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对水利领域依法必须进行招标的项目，招标人不按照规定组建评标委员会，或者确定、更换评标委员会成员违反招标投标法和招标投标法实施条例规定行为的行政处罚</w:t>
            </w:r>
          </w:p>
        </w:tc>
        <w:tc>
          <w:tcPr>
            <w:tcW w:w="548" w:type="dxa"/>
            <w:shd w:val="clear" w:color="auto" w:fill="auto"/>
            <w:tcMar>
              <w:top w:w="10" w:type="dxa"/>
              <w:left w:w="10" w:type="dxa"/>
              <w:right w:w="10" w:type="dxa"/>
            </w:tcMar>
            <w:vAlign w:val="center"/>
          </w:tcPr>
          <w:p w14:paraId="1EC2BA8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40FE7D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F487B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63C54E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第七十条第一款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第七十九条 依法必须进行招标的项目的招标人不按照规定组建评标委员会，或者确定、更换评标委员会成员违反招标投标法和招标投标法实施条例规定的，由有关行政监督部门责令改正，可以处10万元以下的罚款，对单位直接负责的主管人员和其他直接责任人员依法给予处分；违法确定或者更换的评标委员会成员作出的评审决定无效，依法重新进行评审。</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3.【部门规章】《工程建设项目勘察设计招标投标办法》《工程建设项目勘察设计招标投标办法》（2003年国家发改委等8部委令第2号发布，2013年国家发改委等9部委令第23号修订）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第五十三条第二款 依法必须进行招标的项目的招标人不按照规定组建评标委员会，或者确定、更换评标委员会成员违反招标投标法和招标投标法实施条例规定的，由有关行政监督部门责令改正，可以处10万元以下的罚款，对单位直接负责的主管人员和其他直接责任人员依法给予处分；违法确定或者更换的评标委员会成员作出的评审结论无效，依法重新进行评审。</w:t>
            </w:r>
          </w:p>
        </w:tc>
        <w:tc>
          <w:tcPr>
            <w:tcW w:w="4075" w:type="dxa"/>
            <w:shd w:val="clear" w:color="auto" w:fill="auto"/>
            <w:tcMar>
              <w:top w:w="10" w:type="dxa"/>
              <w:left w:w="10" w:type="dxa"/>
              <w:right w:w="10" w:type="dxa"/>
            </w:tcMar>
            <w:vAlign w:val="center"/>
          </w:tcPr>
          <w:p w14:paraId="54F8B64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A351D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D9F279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8F8CEF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E3BCB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50DD3FF">
            <w:pPr>
              <w:jc w:val="center"/>
              <w:rPr>
                <w:rFonts w:hint="default" w:ascii="仿宋_GB2312" w:hAnsi="宋体" w:eastAsia="仿宋_GB2312" w:cs="仿宋_GB2312"/>
                <w:i w:val="0"/>
                <w:iCs w:val="0"/>
                <w:strike w:val="0"/>
                <w:dstrike w:val="0"/>
                <w:color w:val="auto"/>
                <w:sz w:val="21"/>
                <w:szCs w:val="21"/>
                <w:u w:val="none"/>
              </w:rPr>
            </w:pPr>
          </w:p>
        </w:tc>
      </w:tr>
      <w:tr w14:paraId="6D80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59522B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70 </w:t>
            </w:r>
          </w:p>
        </w:tc>
        <w:tc>
          <w:tcPr>
            <w:tcW w:w="775" w:type="dxa"/>
            <w:shd w:val="clear" w:color="auto" w:fill="auto"/>
            <w:tcMar>
              <w:top w:w="10" w:type="dxa"/>
              <w:left w:w="10" w:type="dxa"/>
              <w:right w:w="10" w:type="dxa"/>
            </w:tcMar>
            <w:vAlign w:val="center"/>
          </w:tcPr>
          <w:p w14:paraId="379E80A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8F7A4D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对水利领域中标人不履行与招标人订立的合同，不按照与招标人订立的合同履行义务等行为的行政处罚</w:t>
            </w:r>
          </w:p>
        </w:tc>
        <w:tc>
          <w:tcPr>
            <w:tcW w:w="548" w:type="dxa"/>
            <w:shd w:val="clear" w:color="auto" w:fill="auto"/>
            <w:tcMar>
              <w:top w:w="10" w:type="dxa"/>
              <w:left w:w="10" w:type="dxa"/>
              <w:right w:w="10" w:type="dxa"/>
            </w:tcMar>
            <w:vAlign w:val="center"/>
          </w:tcPr>
          <w:p w14:paraId="403FBAF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1725AE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A82418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BD012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中标人不履行与招标人订立的合同的，履约保证金不予退还，给招标人造成的损失超过履约保证金数额的，还应当对超过部分予以赔偿；没有提交履约保证金的，应当对招标人的损失承担赔偿责任。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中标人不按照与招标人订立的合同履行义务，情节严重的，取消其二年至五年内参加依法必须进行招标的项目的投标资格并予以公告，直至由工商行政管理机关吊销营业执照。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因不可抗力不能履行合同的，不适用前两款规定。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3.【部门规章】《评标委员会和评标方法暂行规定》（2001年国家计委等第7部委令第12号发布,2013年国家发改委等9部委令第23号修正）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4.【部门规章】《工程建设项目货物招标投标办法》（2005年国家发改委等7部委令第27号公布，2013年国家发改委等7部委令第23号修订）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第五十八条第二款  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第八十一条 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施工招标的项目的中标人，由有关行政监督部门责令改正，可以处中标金额千分之十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第八十四条 中标人不履行与招标人订立的合同的，履约保证金不予退还，给招标人造成的损失超过履约保证金数额的，还应当对超过部分予以赔偿；没有提交履约保证金的，应当对招标人的损失承担赔偿责任。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中标人不按照与招标人订立的合同履行义务，情节严重的，有关行政监督部门取消其二至五年参加招标项目的投标资格并予以公告，直至由工商行政管理机关吊销营业执照。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因不可抗力不能履行合同的，不适用前两款规定。</w:t>
            </w:r>
          </w:p>
        </w:tc>
        <w:tc>
          <w:tcPr>
            <w:tcW w:w="4075" w:type="dxa"/>
            <w:shd w:val="clear" w:color="auto" w:fill="auto"/>
            <w:tcMar>
              <w:top w:w="10" w:type="dxa"/>
              <w:left w:w="10" w:type="dxa"/>
              <w:right w:w="10" w:type="dxa"/>
            </w:tcMar>
            <w:vAlign w:val="center"/>
          </w:tcPr>
          <w:p w14:paraId="7CC6897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3F5D4D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BDEF2E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42C34D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67062C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F9D60BB">
            <w:pPr>
              <w:jc w:val="center"/>
              <w:rPr>
                <w:rFonts w:hint="default" w:ascii="仿宋_GB2312" w:hAnsi="宋体" w:eastAsia="仿宋_GB2312" w:cs="仿宋_GB2312"/>
                <w:i w:val="0"/>
                <w:iCs w:val="0"/>
                <w:strike w:val="0"/>
                <w:dstrike w:val="0"/>
                <w:color w:val="auto"/>
                <w:sz w:val="21"/>
                <w:szCs w:val="21"/>
                <w:u w:val="none"/>
              </w:rPr>
            </w:pPr>
          </w:p>
        </w:tc>
      </w:tr>
      <w:tr w14:paraId="33D9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09E985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71 </w:t>
            </w:r>
          </w:p>
        </w:tc>
        <w:tc>
          <w:tcPr>
            <w:tcW w:w="775" w:type="dxa"/>
            <w:shd w:val="clear" w:color="auto" w:fill="auto"/>
            <w:tcMar>
              <w:top w:w="10" w:type="dxa"/>
              <w:left w:w="10" w:type="dxa"/>
              <w:right w:w="10" w:type="dxa"/>
            </w:tcMar>
            <w:vAlign w:val="center"/>
          </w:tcPr>
          <w:p w14:paraId="3E62E5A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F62FA8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对施工总承包单位、分包单位未实行劳动用工实名制管理，建设单位未依法提供工程款支付担保行为的行政处罚</w:t>
            </w:r>
          </w:p>
        </w:tc>
        <w:tc>
          <w:tcPr>
            <w:tcW w:w="548" w:type="dxa"/>
            <w:shd w:val="clear" w:color="auto" w:fill="auto"/>
            <w:tcMar>
              <w:top w:w="10" w:type="dxa"/>
              <w:left w:w="10" w:type="dxa"/>
              <w:right w:w="10" w:type="dxa"/>
            </w:tcMar>
            <w:vAlign w:val="center"/>
          </w:tcPr>
          <w:p w14:paraId="79060CF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EA4557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37D137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1D724D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1.【行政法规】《保障农民工工资支付条例》（2019年国务院第724号发布）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三）施工总承包单位、分包单位未实行劳动用工实名制管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有下列情形之一的，由人力资源社会保障行政部门、相关行业工程建设主管部门按照职责责令限期改正；逾期不改正的，责令项目停工，并处5万元以上10万元以下的罚款：（一）建设单位未依法提供工程款支付担保；</w:t>
            </w:r>
          </w:p>
        </w:tc>
        <w:tc>
          <w:tcPr>
            <w:tcW w:w="4075" w:type="dxa"/>
            <w:shd w:val="clear" w:color="auto" w:fill="auto"/>
            <w:tcMar>
              <w:top w:w="10" w:type="dxa"/>
              <w:left w:w="10" w:type="dxa"/>
              <w:right w:w="10" w:type="dxa"/>
            </w:tcMar>
            <w:vAlign w:val="center"/>
          </w:tcPr>
          <w:p w14:paraId="07E7C8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A7F78D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3A455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6A15A6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CCAD6B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16D0870">
            <w:pPr>
              <w:jc w:val="center"/>
              <w:rPr>
                <w:rFonts w:hint="default" w:ascii="仿宋_GB2312" w:hAnsi="宋体" w:eastAsia="仿宋_GB2312" w:cs="仿宋_GB2312"/>
                <w:i w:val="0"/>
                <w:iCs w:val="0"/>
                <w:strike w:val="0"/>
                <w:dstrike w:val="0"/>
                <w:color w:val="auto"/>
                <w:sz w:val="21"/>
                <w:szCs w:val="21"/>
                <w:u w:val="none"/>
              </w:rPr>
            </w:pPr>
          </w:p>
        </w:tc>
      </w:tr>
      <w:tr w14:paraId="5CE3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9EB435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72 </w:t>
            </w:r>
          </w:p>
        </w:tc>
        <w:tc>
          <w:tcPr>
            <w:tcW w:w="775" w:type="dxa"/>
            <w:shd w:val="clear" w:color="auto" w:fill="auto"/>
            <w:tcMar>
              <w:top w:w="10" w:type="dxa"/>
              <w:left w:w="10" w:type="dxa"/>
              <w:right w:w="10" w:type="dxa"/>
            </w:tcMar>
            <w:vAlign w:val="center"/>
          </w:tcPr>
          <w:p w14:paraId="62E4383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EAB07A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对水利领域投标人相互串通投标或者与招标人串通投标，以向招标人或者评标委员会成员行贿的手段谋取中标行为的行政处罚</w:t>
            </w:r>
          </w:p>
        </w:tc>
        <w:tc>
          <w:tcPr>
            <w:tcW w:w="548" w:type="dxa"/>
            <w:shd w:val="clear" w:color="auto" w:fill="auto"/>
            <w:tcMar>
              <w:top w:w="10" w:type="dxa"/>
              <w:left w:w="10" w:type="dxa"/>
              <w:right w:w="10" w:type="dxa"/>
            </w:tcMar>
            <w:vAlign w:val="center"/>
          </w:tcPr>
          <w:p w14:paraId="6934C18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D4CD5D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C65CAC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A06599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 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第六十七条第一款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第六十七条第二款 投标人有下列行为之一的，属于招标投标法第五十三条规定的情节严重行为，由有关行政监督部门取消其1年至2年内参加依法必须进行招标的项目的投标资格：（一）以行贿谋取中标；（二）3年内2次以上串通投标；（三）串通投标行为损害招标人、其他投标人或者国家、集体、公民的合法利益，造成直接经济损失30万元以上；（四）其他串通投标情节严重的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第七十四条 投标人相互串通投标或者与招标人串通投标的，投标人以向招标人或者评标委员会成员行贿的手段谋取中标的，中标无效，由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4.【部门规章】《电子招标投标办法》（2013年国家发改委等8部委令第20号公布）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招标投标活动当事人和电子招标投标系统运营机构协助招标人、投标人串通投标的，依照招标投标法第五十三条和招标投标法实施条例第六十七条规定处罚。</w:t>
            </w:r>
          </w:p>
        </w:tc>
        <w:tc>
          <w:tcPr>
            <w:tcW w:w="4075" w:type="dxa"/>
            <w:shd w:val="clear" w:color="auto" w:fill="auto"/>
            <w:tcMar>
              <w:top w:w="10" w:type="dxa"/>
              <w:left w:w="10" w:type="dxa"/>
              <w:right w:w="10" w:type="dxa"/>
            </w:tcMar>
            <w:vAlign w:val="center"/>
          </w:tcPr>
          <w:p w14:paraId="5161036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6A027C2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200C1E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74515C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5BAC68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DFBDD53">
            <w:pPr>
              <w:jc w:val="center"/>
              <w:rPr>
                <w:rFonts w:hint="default" w:ascii="仿宋_GB2312" w:hAnsi="宋体" w:eastAsia="仿宋_GB2312" w:cs="仿宋_GB2312"/>
                <w:i w:val="0"/>
                <w:iCs w:val="0"/>
                <w:strike w:val="0"/>
                <w:dstrike w:val="0"/>
                <w:color w:val="auto"/>
                <w:sz w:val="21"/>
                <w:szCs w:val="21"/>
                <w:u w:val="none"/>
              </w:rPr>
            </w:pPr>
          </w:p>
        </w:tc>
      </w:tr>
      <w:tr w14:paraId="7267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102F3D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73 </w:t>
            </w:r>
          </w:p>
        </w:tc>
        <w:tc>
          <w:tcPr>
            <w:tcW w:w="775" w:type="dxa"/>
            <w:shd w:val="clear" w:color="auto" w:fill="auto"/>
            <w:tcMar>
              <w:top w:w="10" w:type="dxa"/>
              <w:left w:w="10" w:type="dxa"/>
              <w:right w:w="10" w:type="dxa"/>
            </w:tcMar>
            <w:vAlign w:val="center"/>
          </w:tcPr>
          <w:p w14:paraId="6888022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C29691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对水利领域投标人以他人名义投标或者以其他方式弄虚作假，骗取中标等行为的行政处罚</w:t>
            </w:r>
          </w:p>
        </w:tc>
        <w:tc>
          <w:tcPr>
            <w:tcW w:w="548" w:type="dxa"/>
            <w:shd w:val="clear" w:color="auto" w:fill="auto"/>
            <w:tcMar>
              <w:top w:w="10" w:type="dxa"/>
              <w:left w:w="10" w:type="dxa"/>
              <w:right w:w="10" w:type="dxa"/>
            </w:tcMar>
            <w:vAlign w:val="center"/>
          </w:tcPr>
          <w:p w14:paraId="13963C2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ADC443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CE2F7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05C69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投标人以他人名义投标或者以其他方式弄虚作假，骗取中标的，中标无效，给招标人造成损失的，依法承担赔偿责任；构成犯罪的，依法追究刑事责任。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第六十八条第一款 投标人以他人名义投标或者以其他方式弄虚作假骗取中标的，中标无效；构成犯罪的，依法追究刑事责任；尚不构成犯罪的，依照招标投标法第五十四条的规定处罚。依法必须进行招标的项目的投标人未中标的，对单位的罚款金额按照招标项目合同金额依照招标投标法规定的比例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第六十八条第二款 投标人有下列行为之一的，属于招标投标法第五十四条规定的情节严重行为，由有关行政监督部门取消其1年至3年内参加依法必须进行招标的项目的投标资格：（一）伪造、变造资格、资质证书或者其他许可证件骗取中标；（二）3年内2次以上使用他人名义投标；（三）弄虚作假骗取中标给招标人造成直接经济损失30万元以上；（四）其他弄虚作假骗取中标情节严重的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第七十五条 投标人以他人名义投标或者以其他方式弄虚作假，骗取中标的，中标无效，给招标人造成损失的，依法承担赔偿责任；构成犯罪的，依法追究刑事责任。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依法必须进行招标项目的投标人有前款所列行为尚未构成犯罪的，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三年投标资格，并予以公告，直至由工商行政管理机关吊销营业执照。投标人未中标的，对单位的罚款金额按照招标项目合同金额依照招标投标法规定的比例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4.【部门规章】《工程建设项目勘察设计招标投标办法》《工程建设项目勘察设计招标投标办法》（2003年国家发改委等8部委令第2号发布，2013年国家发改委等9部委令第23号修订）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第五十二条 依法必须进行招标的项目的投标人以他人名义投标，利用伪造、转让、租借、无效的资质证书参加投标，或者请其他单位在自己编制的投标文件上代为签字盖章，弄虚作假，骗取中标的，中标无效。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5.【部门规章】《电子招标投标办法》（2013年国家发改委等8部委令第20号公布）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招标投标活动当事人和电子招标投标系统运营机构伪造、篡改、损毁招标投标信息，或者以其他方式弄虚作假的，依照招标投标法第五十四条和招标投标法实施条例第六十八条规定处罚。</w:t>
            </w:r>
          </w:p>
        </w:tc>
        <w:tc>
          <w:tcPr>
            <w:tcW w:w="4075" w:type="dxa"/>
            <w:shd w:val="clear" w:color="auto" w:fill="auto"/>
            <w:tcMar>
              <w:top w:w="10" w:type="dxa"/>
              <w:left w:w="10" w:type="dxa"/>
              <w:right w:w="10" w:type="dxa"/>
            </w:tcMar>
            <w:vAlign w:val="center"/>
          </w:tcPr>
          <w:p w14:paraId="154074F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552E11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392B61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7518A2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DD855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F86C180">
            <w:pPr>
              <w:jc w:val="center"/>
              <w:rPr>
                <w:rFonts w:hint="default" w:ascii="仿宋_GB2312" w:hAnsi="宋体" w:eastAsia="仿宋_GB2312" w:cs="仿宋_GB2312"/>
                <w:i w:val="0"/>
                <w:iCs w:val="0"/>
                <w:strike w:val="0"/>
                <w:dstrike w:val="0"/>
                <w:color w:val="auto"/>
                <w:sz w:val="21"/>
                <w:szCs w:val="21"/>
                <w:u w:val="none"/>
              </w:rPr>
            </w:pPr>
          </w:p>
        </w:tc>
      </w:tr>
      <w:tr w14:paraId="12DF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2F5493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74 </w:t>
            </w:r>
          </w:p>
        </w:tc>
        <w:tc>
          <w:tcPr>
            <w:tcW w:w="775" w:type="dxa"/>
            <w:shd w:val="clear" w:color="auto" w:fill="auto"/>
            <w:tcMar>
              <w:top w:w="10" w:type="dxa"/>
              <w:left w:w="10" w:type="dxa"/>
              <w:right w:w="10" w:type="dxa"/>
            </w:tcMar>
            <w:vAlign w:val="center"/>
          </w:tcPr>
          <w:p w14:paraId="77374A5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88CD5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对水利领域招标代理机构泄露应当保密的与招标投标活动有关的情况和资料，或者与招标人、投标人串通损害国家利益、社会公共利益或者他人合法权益等行为的行政处罚</w:t>
            </w:r>
          </w:p>
        </w:tc>
        <w:tc>
          <w:tcPr>
            <w:tcW w:w="548" w:type="dxa"/>
            <w:shd w:val="clear" w:color="auto" w:fill="auto"/>
            <w:tcMar>
              <w:top w:w="10" w:type="dxa"/>
              <w:left w:w="10" w:type="dxa"/>
              <w:right w:w="10" w:type="dxa"/>
            </w:tcMar>
            <w:vAlign w:val="center"/>
          </w:tcPr>
          <w:p w14:paraId="497AE74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1BEB99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3D77E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22730B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第五十条 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前款所列行为影响中标结果的，中标无效。</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 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第六十九条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前款所列行为影响中标结果，并且中标人为前款所列行为的受益人的，中标无效。</w:t>
            </w:r>
          </w:p>
        </w:tc>
        <w:tc>
          <w:tcPr>
            <w:tcW w:w="4075" w:type="dxa"/>
            <w:shd w:val="clear" w:color="auto" w:fill="auto"/>
            <w:tcMar>
              <w:top w:w="10" w:type="dxa"/>
              <w:left w:w="10" w:type="dxa"/>
              <w:right w:w="10" w:type="dxa"/>
            </w:tcMar>
            <w:vAlign w:val="center"/>
          </w:tcPr>
          <w:p w14:paraId="2C16A28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5DE7E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F9066B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98D272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7AA71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8D3B246">
            <w:pPr>
              <w:jc w:val="center"/>
              <w:rPr>
                <w:rFonts w:hint="default" w:ascii="仿宋_GB2312" w:hAnsi="宋体" w:eastAsia="仿宋_GB2312" w:cs="仿宋_GB2312"/>
                <w:i w:val="0"/>
                <w:iCs w:val="0"/>
                <w:strike w:val="0"/>
                <w:dstrike w:val="0"/>
                <w:color w:val="auto"/>
                <w:sz w:val="21"/>
                <w:szCs w:val="21"/>
                <w:u w:val="none"/>
              </w:rPr>
            </w:pPr>
          </w:p>
        </w:tc>
      </w:tr>
      <w:tr w14:paraId="560C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5CC3DA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75 </w:t>
            </w:r>
          </w:p>
        </w:tc>
        <w:tc>
          <w:tcPr>
            <w:tcW w:w="775" w:type="dxa"/>
            <w:shd w:val="clear" w:color="auto" w:fill="auto"/>
            <w:tcMar>
              <w:top w:w="10" w:type="dxa"/>
              <w:left w:w="10" w:type="dxa"/>
              <w:right w:w="10" w:type="dxa"/>
            </w:tcMar>
            <w:vAlign w:val="center"/>
          </w:tcPr>
          <w:p w14:paraId="3B09F7A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1CE013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对水利领域评标委员会成员收受投标人的财物或者其他好处，评标委员会成员或者与评标活动有关的工作人员向他人透露对投标文件的评审和比较、中标候选人的推荐以及与评标有关的其他情况等行为的行政处罚</w:t>
            </w:r>
          </w:p>
        </w:tc>
        <w:tc>
          <w:tcPr>
            <w:tcW w:w="548" w:type="dxa"/>
            <w:shd w:val="clear" w:color="auto" w:fill="auto"/>
            <w:tcMar>
              <w:top w:w="10" w:type="dxa"/>
              <w:left w:w="10" w:type="dxa"/>
              <w:right w:w="10" w:type="dxa"/>
            </w:tcMar>
            <w:vAlign w:val="center"/>
          </w:tcPr>
          <w:p w14:paraId="169F73B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E63489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9D534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419F92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1.【法律】《中华人民共和国招标投标法》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第七十二条 评标委员会成员收受投标人的财物或者其他好处的，没收收受的财物，处3000元以上5万元以下的罚款，取消担任评标委员会成员的资格，不得再参加依法必须进行招标的项目的评标；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3.【部门规章】《评标委员会和评标方法暂行规定》（2001年国家计委等第7部委令第12号发布,2013年国家发改委等9部委令第23号修正）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评标委员会成员收受投标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4.【部门规章】《工程建设项目施工招标投标办法》（国家发改委等7部委令第30号，2013年国家发改委等9部委令第23号修正）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第七十七条 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p>
        </w:tc>
        <w:tc>
          <w:tcPr>
            <w:tcW w:w="4075" w:type="dxa"/>
            <w:shd w:val="clear" w:color="auto" w:fill="auto"/>
            <w:tcMar>
              <w:top w:w="10" w:type="dxa"/>
              <w:left w:w="10" w:type="dxa"/>
              <w:right w:w="10" w:type="dxa"/>
            </w:tcMar>
            <w:vAlign w:val="center"/>
          </w:tcPr>
          <w:p w14:paraId="0A83A89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DF978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4E9A75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796172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715AE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84056B6">
            <w:pPr>
              <w:jc w:val="center"/>
              <w:rPr>
                <w:rFonts w:hint="default" w:ascii="仿宋_GB2312" w:hAnsi="宋体" w:eastAsia="仿宋_GB2312" w:cs="仿宋_GB2312"/>
                <w:i w:val="0"/>
                <w:iCs w:val="0"/>
                <w:strike w:val="0"/>
                <w:dstrike w:val="0"/>
                <w:color w:val="auto"/>
                <w:sz w:val="21"/>
                <w:szCs w:val="21"/>
                <w:u w:val="none"/>
              </w:rPr>
            </w:pPr>
          </w:p>
        </w:tc>
      </w:tr>
      <w:tr w14:paraId="4396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BA83DA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76 </w:t>
            </w:r>
          </w:p>
        </w:tc>
        <w:tc>
          <w:tcPr>
            <w:tcW w:w="775" w:type="dxa"/>
            <w:shd w:val="clear" w:color="auto" w:fill="auto"/>
            <w:tcMar>
              <w:top w:w="10" w:type="dxa"/>
              <w:left w:w="10" w:type="dxa"/>
              <w:right w:w="10" w:type="dxa"/>
            </w:tcMar>
            <w:vAlign w:val="center"/>
          </w:tcPr>
          <w:p w14:paraId="7F5067D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0F9984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对水利领域评标委员会成员应当回避而不回避、擅离职守、不按照招标文件规定的评标标准和方法评标等行为的行政处罚</w:t>
            </w:r>
          </w:p>
        </w:tc>
        <w:tc>
          <w:tcPr>
            <w:tcW w:w="548" w:type="dxa"/>
            <w:shd w:val="clear" w:color="auto" w:fill="auto"/>
            <w:tcMar>
              <w:top w:w="10" w:type="dxa"/>
              <w:left w:w="10" w:type="dxa"/>
              <w:right w:w="10" w:type="dxa"/>
            </w:tcMar>
            <w:vAlign w:val="center"/>
          </w:tcPr>
          <w:p w14:paraId="22C9694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FDD6C6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3EE9A5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B66CF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1.【行政法规】《中华人民共和国招标投标法实施条例》（2011年国务院令第613号发布，2019年国务院令第709号修改）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第七十一条 评标委员会成员有下列行为之一的，由有关行政监督部门责令改正；情节严重的，禁止其在一定期限内参加依法必须进行招标的项目的评标；情节特别严重的，取消其担任评标委员会成员的资格：（一）应当回避而不回避；（二）擅离职守；（三）不按照招标文件规定的评标标准和方法评标；（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2.【部门规章】《工程建设项目货物招标投标办法》（2005年国家发改委等7部委令第27号公布，2013年国家发改委等7部委令第23号修订）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评标委员会成员有下列行为之一的，由有关行政监督部门责令改正；情节严重的，禁止其在一定期限内参加依法必须进行招标的项目的评标；情节特别严重的，取消其担任评标委员会成员的资格：（一）应当回避而不回避；（二）擅离职守；（三）不按照招标文件规定的评标标准和方法评标；（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3.【部门规章】《工程建设项目勘察设计招标投标办法》《工程建设项目勘察设计招标投标办法》（2003年国家发改委等8部委令第2号发布，2013年国家发改委等9部委令第23号修订）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 评标委员会成员有下列行为之一的，由有关行政监督部门责令改正；情节严重的，禁止其在一定期限内参加依法必须进行招标的项目的评标；情节特别严重的，取消其担任评标委员会成员的资格：（一）不按照招标文件规定的评标标准和方法评标；（二）应当回避而不回避；（三）擅离职守；（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4.【部门规章】《评标委员会和评标方法暂行规定》（2001年国家计委等第7部委令第12号发布,2013年国家发改委等9部委令第23号修正）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 评标委员会成员有下列行为之一的，由有关行政监督部门责令改正；情节严重的，禁止其在一定期限内参加依法必须进行招标的项目的评标；情节特别严重的，取消其担任评标委员会成员的资格：（一）应当回避而不回避；（二）擅离职守；（三）不按照招标文件规定的评标标准和方法评标；（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w:t>
            </w:r>
          </w:p>
        </w:tc>
        <w:tc>
          <w:tcPr>
            <w:tcW w:w="4075" w:type="dxa"/>
            <w:shd w:val="clear" w:color="auto" w:fill="auto"/>
            <w:tcMar>
              <w:top w:w="10" w:type="dxa"/>
              <w:left w:w="10" w:type="dxa"/>
              <w:right w:w="10" w:type="dxa"/>
            </w:tcMar>
            <w:vAlign w:val="center"/>
          </w:tcPr>
          <w:p w14:paraId="4A83EEF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E2C75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45096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A1DAA4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F0B85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A548066">
            <w:pPr>
              <w:jc w:val="center"/>
              <w:rPr>
                <w:rFonts w:hint="default" w:ascii="仿宋_GB2312" w:hAnsi="宋体" w:eastAsia="仿宋_GB2312" w:cs="仿宋_GB2312"/>
                <w:i w:val="0"/>
                <w:iCs w:val="0"/>
                <w:strike w:val="0"/>
                <w:dstrike w:val="0"/>
                <w:color w:val="auto"/>
                <w:sz w:val="21"/>
                <w:szCs w:val="21"/>
                <w:u w:val="none"/>
              </w:rPr>
            </w:pPr>
          </w:p>
        </w:tc>
      </w:tr>
      <w:tr w14:paraId="0B57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BE385D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77 </w:t>
            </w:r>
          </w:p>
        </w:tc>
        <w:tc>
          <w:tcPr>
            <w:tcW w:w="775" w:type="dxa"/>
            <w:shd w:val="clear" w:color="auto" w:fill="auto"/>
            <w:tcMar>
              <w:top w:w="10" w:type="dxa"/>
              <w:left w:w="10" w:type="dxa"/>
              <w:right w:w="10" w:type="dxa"/>
            </w:tcMar>
            <w:vAlign w:val="center"/>
          </w:tcPr>
          <w:p w14:paraId="0CAE31C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F72B27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对水利工程质量检测单位使用不符合条件的检测人员、未按规定上报发现的违法违规行为和检测不合格事项等行为的行政处罚</w:t>
            </w:r>
          </w:p>
        </w:tc>
        <w:tc>
          <w:tcPr>
            <w:tcW w:w="548" w:type="dxa"/>
            <w:shd w:val="clear" w:color="auto" w:fill="auto"/>
            <w:tcMar>
              <w:top w:w="10" w:type="dxa"/>
              <w:left w:w="10" w:type="dxa"/>
              <w:right w:w="10" w:type="dxa"/>
            </w:tcMar>
            <w:vAlign w:val="center"/>
          </w:tcPr>
          <w:p w14:paraId="68AC96B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AFFCA6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BFAB2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97AFE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检测单位违反本规定，有下列行为之一的，由县级以上人民政府水行政主管部门责令改正，有违法所得的，没收违法所得，可并处1万元以上3万元以下的罚款；构成犯罪的，依法追究刑事责任：（三）使用不符合条件的检测人员的；（四）未按规定上报发现的违法违规行为和检测不合格事项的；（五）未按规定在质量检测报告上签字盖章的；（六）未按照国家和行业标准进行检测的；（七）档案资料管理混乱，造成检测数据无法追溯的；（八）转包、违规分包检测业务的。</w:t>
            </w:r>
          </w:p>
        </w:tc>
        <w:tc>
          <w:tcPr>
            <w:tcW w:w="4075" w:type="dxa"/>
            <w:shd w:val="clear" w:color="auto" w:fill="auto"/>
            <w:tcMar>
              <w:top w:w="10" w:type="dxa"/>
              <w:left w:w="10" w:type="dxa"/>
              <w:right w:w="10" w:type="dxa"/>
            </w:tcMar>
            <w:vAlign w:val="center"/>
          </w:tcPr>
          <w:p w14:paraId="293CBA8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B0DF6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D50BB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6F26D7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6BBEC0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9A4A041">
            <w:pPr>
              <w:jc w:val="center"/>
              <w:rPr>
                <w:rFonts w:hint="default" w:ascii="仿宋_GB2312" w:hAnsi="宋体" w:eastAsia="仿宋_GB2312" w:cs="仿宋_GB2312"/>
                <w:i w:val="0"/>
                <w:iCs w:val="0"/>
                <w:strike w:val="0"/>
                <w:dstrike w:val="0"/>
                <w:color w:val="auto"/>
                <w:sz w:val="21"/>
                <w:szCs w:val="21"/>
                <w:u w:val="none"/>
              </w:rPr>
            </w:pPr>
          </w:p>
        </w:tc>
      </w:tr>
      <w:tr w14:paraId="373F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BB72BB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78 </w:t>
            </w:r>
          </w:p>
        </w:tc>
        <w:tc>
          <w:tcPr>
            <w:tcW w:w="775" w:type="dxa"/>
            <w:shd w:val="clear" w:color="auto" w:fill="auto"/>
            <w:tcMar>
              <w:top w:w="10" w:type="dxa"/>
              <w:left w:w="10" w:type="dxa"/>
              <w:right w:w="10" w:type="dxa"/>
            </w:tcMar>
            <w:vAlign w:val="center"/>
          </w:tcPr>
          <w:p w14:paraId="42C886E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1E580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对水利工程质量检测单位伪造检验数据，出具虚假质量检测报告行为的行政处罚</w:t>
            </w:r>
          </w:p>
        </w:tc>
        <w:tc>
          <w:tcPr>
            <w:tcW w:w="548" w:type="dxa"/>
            <w:shd w:val="clear" w:color="auto" w:fill="auto"/>
            <w:tcMar>
              <w:top w:w="10" w:type="dxa"/>
              <w:left w:w="10" w:type="dxa"/>
              <w:right w:w="10" w:type="dxa"/>
            </w:tcMar>
            <w:vAlign w:val="center"/>
          </w:tcPr>
          <w:p w14:paraId="675F789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5980DC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F8E1EC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38DCDC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第七十二条 水利工程质量检测单位伪造检测数据，出具虚假质量检测报告的，由水行政主管部门或者流域管理机构依据职权责令改正，给予警告或者通报批评，处10万元以下罚款；给他人造成损失的，依法承担赔偿责任。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第二十八条 检测单位伪造检测数据，出具虚假质量检测报告的，由县级以上人民政府水行政主管部门给予警告，并处3万元罚款；给他人造成损失的，依法承担赔偿责任；构成犯罪的，依法追究刑事责任。</w:t>
            </w:r>
          </w:p>
        </w:tc>
        <w:tc>
          <w:tcPr>
            <w:tcW w:w="4075" w:type="dxa"/>
            <w:shd w:val="clear" w:color="auto" w:fill="auto"/>
            <w:tcMar>
              <w:top w:w="10" w:type="dxa"/>
              <w:left w:w="10" w:type="dxa"/>
              <w:right w:w="10" w:type="dxa"/>
            </w:tcMar>
            <w:vAlign w:val="center"/>
          </w:tcPr>
          <w:p w14:paraId="6512A3E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BE6B6D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1EB88B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16B746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553927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75A533B">
            <w:pPr>
              <w:jc w:val="center"/>
              <w:rPr>
                <w:rFonts w:hint="default" w:ascii="仿宋_GB2312" w:hAnsi="宋体" w:eastAsia="仿宋_GB2312" w:cs="仿宋_GB2312"/>
                <w:i w:val="0"/>
                <w:iCs w:val="0"/>
                <w:strike w:val="0"/>
                <w:dstrike w:val="0"/>
                <w:color w:val="auto"/>
                <w:sz w:val="21"/>
                <w:szCs w:val="21"/>
                <w:u w:val="none"/>
              </w:rPr>
            </w:pPr>
          </w:p>
        </w:tc>
      </w:tr>
      <w:tr w14:paraId="1A7F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43550C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79 </w:t>
            </w:r>
          </w:p>
        </w:tc>
        <w:tc>
          <w:tcPr>
            <w:tcW w:w="775" w:type="dxa"/>
            <w:shd w:val="clear" w:color="auto" w:fill="auto"/>
            <w:tcMar>
              <w:top w:w="10" w:type="dxa"/>
              <w:left w:w="10" w:type="dxa"/>
              <w:right w:w="10" w:type="dxa"/>
            </w:tcMar>
            <w:vAlign w:val="center"/>
          </w:tcPr>
          <w:p w14:paraId="68C5876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3DC2A5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对水利领域委托方委托未取得相应资质的检测单位进行检测，明示或暗示检测单位出具虚假检测报告，篡改或伪造检测报告等行为的行政处罚</w:t>
            </w:r>
          </w:p>
        </w:tc>
        <w:tc>
          <w:tcPr>
            <w:tcW w:w="548" w:type="dxa"/>
            <w:shd w:val="clear" w:color="auto" w:fill="auto"/>
            <w:tcMar>
              <w:top w:w="10" w:type="dxa"/>
              <w:left w:w="10" w:type="dxa"/>
              <w:right w:w="10" w:type="dxa"/>
            </w:tcMar>
            <w:vAlign w:val="center"/>
          </w:tcPr>
          <w:p w14:paraId="4F72F0C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FD0411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C5795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FE3054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违反本规定，委托方有下列行为之一的，由县级以上人民政府水行政主管部门责令改正，可并处1万元以上3万元以下的罚款：（一）委托未取得相应资质的检测单位进行检测的；（二）明示或暗示检测单位出具虚假检测报告，篡改或伪造检测报告的；（三）送检试样弄虚作假的。</w:t>
            </w:r>
          </w:p>
        </w:tc>
        <w:tc>
          <w:tcPr>
            <w:tcW w:w="4075" w:type="dxa"/>
            <w:shd w:val="clear" w:color="auto" w:fill="auto"/>
            <w:tcMar>
              <w:top w:w="10" w:type="dxa"/>
              <w:left w:w="10" w:type="dxa"/>
              <w:right w:w="10" w:type="dxa"/>
            </w:tcMar>
            <w:vAlign w:val="center"/>
          </w:tcPr>
          <w:p w14:paraId="3204EB8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4B04B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2ACF9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F75C28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DD5CCF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E4E7646">
            <w:pPr>
              <w:jc w:val="center"/>
              <w:rPr>
                <w:rFonts w:hint="default" w:ascii="仿宋_GB2312" w:hAnsi="宋体" w:eastAsia="仿宋_GB2312" w:cs="仿宋_GB2312"/>
                <w:i w:val="0"/>
                <w:iCs w:val="0"/>
                <w:strike w:val="0"/>
                <w:dstrike w:val="0"/>
                <w:color w:val="auto"/>
                <w:sz w:val="21"/>
                <w:szCs w:val="21"/>
                <w:u w:val="none"/>
              </w:rPr>
            </w:pPr>
          </w:p>
        </w:tc>
      </w:tr>
      <w:tr w14:paraId="05C1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AA3EAA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80 </w:t>
            </w:r>
          </w:p>
        </w:tc>
        <w:tc>
          <w:tcPr>
            <w:tcW w:w="775" w:type="dxa"/>
            <w:shd w:val="clear" w:color="auto" w:fill="auto"/>
            <w:tcMar>
              <w:top w:w="10" w:type="dxa"/>
              <w:left w:w="10" w:type="dxa"/>
              <w:right w:w="10" w:type="dxa"/>
            </w:tcMar>
            <w:vAlign w:val="center"/>
          </w:tcPr>
          <w:p w14:paraId="33B3B8E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503A93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对水利工程质量检测人员从事质量检测活动中不如实记录、随意取舍检测数据，弄虚作假、伪造数据等行为的行政处罚</w:t>
            </w:r>
          </w:p>
        </w:tc>
        <w:tc>
          <w:tcPr>
            <w:tcW w:w="548" w:type="dxa"/>
            <w:shd w:val="clear" w:color="auto" w:fill="auto"/>
            <w:tcMar>
              <w:top w:w="10" w:type="dxa"/>
              <w:left w:w="10" w:type="dxa"/>
              <w:right w:w="10" w:type="dxa"/>
            </w:tcMar>
            <w:vAlign w:val="center"/>
          </w:tcPr>
          <w:p w14:paraId="2309335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93278A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16136E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71638E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第三十条 检测人员从事质量检测活动中，有下列行为之一的，由县级以上人民政府水行政主管部门责令改正，给予警告，可并处1千元以下罚款：（一）不如实记录，随意取舍检测数据的；（二）弄虚作假、伪造数据的；（三）未执行法律、法规和强制性标准的。</w:t>
            </w:r>
          </w:p>
        </w:tc>
        <w:tc>
          <w:tcPr>
            <w:tcW w:w="4075" w:type="dxa"/>
            <w:shd w:val="clear" w:color="auto" w:fill="auto"/>
            <w:tcMar>
              <w:top w:w="10" w:type="dxa"/>
              <w:left w:w="10" w:type="dxa"/>
              <w:right w:w="10" w:type="dxa"/>
            </w:tcMar>
            <w:vAlign w:val="center"/>
          </w:tcPr>
          <w:p w14:paraId="5C64A9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075094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410721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6EE25A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BCB8E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2496080">
            <w:pPr>
              <w:jc w:val="center"/>
              <w:rPr>
                <w:rFonts w:hint="default" w:ascii="仿宋_GB2312" w:hAnsi="宋体" w:eastAsia="仿宋_GB2312" w:cs="仿宋_GB2312"/>
                <w:i w:val="0"/>
                <w:iCs w:val="0"/>
                <w:strike w:val="0"/>
                <w:dstrike w:val="0"/>
                <w:color w:val="auto"/>
                <w:sz w:val="21"/>
                <w:szCs w:val="21"/>
                <w:u w:val="none"/>
              </w:rPr>
            </w:pPr>
          </w:p>
        </w:tc>
      </w:tr>
      <w:tr w14:paraId="5571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89DA67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81 </w:t>
            </w:r>
          </w:p>
        </w:tc>
        <w:tc>
          <w:tcPr>
            <w:tcW w:w="775" w:type="dxa"/>
            <w:shd w:val="clear" w:color="auto" w:fill="auto"/>
            <w:tcMar>
              <w:top w:w="10" w:type="dxa"/>
              <w:left w:w="10" w:type="dxa"/>
              <w:right w:w="10" w:type="dxa"/>
            </w:tcMar>
            <w:vAlign w:val="center"/>
          </w:tcPr>
          <w:p w14:paraId="3FDBBA6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3D3C9E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对水利领域由于项目法人以及咨询、勘测、设计、监理、施工、设备和原材料等供应单位责任造成工程质量事故行为的行政处罚</w:t>
            </w:r>
          </w:p>
        </w:tc>
        <w:tc>
          <w:tcPr>
            <w:tcW w:w="548" w:type="dxa"/>
            <w:shd w:val="clear" w:color="auto" w:fill="auto"/>
            <w:tcMar>
              <w:top w:w="10" w:type="dxa"/>
              <w:left w:w="10" w:type="dxa"/>
              <w:right w:w="10" w:type="dxa"/>
            </w:tcMar>
            <w:vAlign w:val="center"/>
          </w:tcPr>
          <w:p w14:paraId="62A1076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B8F452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FD5798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888BBE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1.【部门规章】《水利工程质量事故处理规定》（2024年水利部令第57号）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第三十条  项目法人、勘察单位、设计单位、施工单位、监理单位、检测单位和有关人员违反建设管理相关规定，工程质量不符合规定的质量标准的，或者处理后不依照有关规定进行质量验收的，依据有关法律法规和规章的规定给予行政处罚、行政处理。</w:t>
            </w:r>
          </w:p>
        </w:tc>
        <w:tc>
          <w:tcPr>
            <w:tcW w:w="4075" w:type="dxa"/>
            <w:shd w:val="clear" w:color="auto" w:fill="auto"/>
            <w:tcMar>
              <w:top w:w="10" w:type="dxa"/>
              <w:left w:w="10" w:type="dxa"/>
              <w:right w:w="10" w:type="dxa"/>
            </w:tcMar>
            <w:vAlign w:val="center"/>
          </w:tcPr>
          <w:p w14:paraId="61CB7A8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F4FFB5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96961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8B00C2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360783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A4B8A21">
            <w:pPr>
              <w:jc w:val="center"/>
              <w:rPr>
                <w:rFonts w:hint="default" w:ascii="仿宋_GB2312" w:hAnsi="宋体" w:eastAsia="仿宋_GB2312" w:cs="仿宋_GB2312"/>
                <w:i w:val="0"/>
                <w:iCs w:val="0"/>
                <w:strike w:val="0"/>
                <w:dstrike w:val="0"/>
                <w:color w:val="auto"/>
                <w:sz w:val="21"/>
                <w:szCs w:val="21"/>
                <w:u w:val="none"/>
              </w:rPr>
            </w:pPr>
          </w:p>
        </w:tc>
      </w:tr>
      <w:tr w14:paraId="6417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EBCB19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82 </w:t>
            </w:r>
          </w:p>
        </w:tc>
        <w:tc>
          <w:tcPr>
            <w:tcW w:w="775" w:type="dxa"/>
            <w:shd w:val="clear" w:color="auto" w:fill="auto"/>
            <w:tcMar>
              <w:top w:w="10" w:type="dxa"/>
              <w:left w:w="10" w:type="dxa"/>
              <w:right w:w="10" w:type="dxa"/>
            </w:tcMar>
            <w:vAlign w:val="center"/>
          </w:tcPr>
          <w:p w14:paraId="1EB7A82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867078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对水利领域建设单位要求建筑设计单位或者建筑施工企业违反建筑工程质量、安全标准，降低工程质量行为的行政处罚</w:t>
            </w:r>
          </w:p>
        </w:tc>
        <w:tc>
          <w:tcPr>
            <w:tcW w:w="548" w:type="dxa"/>
            <w:shd w:val="clear" w:color="auto" w:fill="auto"/>
            <w:tcMar>
              <w:top w:w="10" w:type="dxa"/>
              <w:left w:w="10" w:type="dxa"/>
              <w:right w:w="10" w:type="dxa"/>
            </w:tcMar>
            <w:vAlign w:val="center"/>
          </w:tcPr>
          <w:p w14:paraId="5237CAF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71BE05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2F38FD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A4C476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第七十二条 建设单位违反本法规定，要求建筑设计单位或者建筑施工企业违反建筑工程质量、安全标准，降低工程质量的，责令改正，可以处以罚款；构成犯罪的，依法追究刑事责任。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违反本条例规定，建设单位有下列行为之一的，责令改正，处20万元以上50万元以下的罚款：（三）明示或者暗示设计单位或者施工单位违反工程建设强制性标准，降低工程质量的；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p>
        </w:tc>
        <w:tc>
          <w:tcPr>
            <w:tcW w:w="4075" w:type="dxa"/>
            <w:shd w:val="clear" w:color="auto" w:fill="auto"/>
            <w:tcMar>
              <w:top w:w="10" w:type="dxa"/>
              <w:left w:w="10" w:type="dxa"/>
              <w:right w:w="10" w:type="dxa"/>
            </w:tcMar>
            <w:vAlign w:val="center"/>
          </w:tcPr>
          <w:p w14:paraId="267EFC4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278269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B3BF2E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811ADD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E75E19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CF2A85F">
            <w:pPr>
              <w:jc w:val="center"/>
              <w:rPr>
                <w:rFonts w:hint="default" w:ascii="仿宋_GB2312" w:hAnsi="宋体" w:eastAsia="仿宋_GB2312" w:cs="仿宋_GB2312"/>
                <w:i w:val="0"/>
                <w:iCs w:val="0"/>
                <w:strike w:val="0"/>
                <w:dstrike w:val="0"/>
                <w:color w:val="auto"/>
                <w:sz w:val="21"/>
                <w:szCs w:val="21"/>
                <w:u w:val="none"/>
              </w:rPr>
            </w:pPr>
          </w:p>
        </w:tc>
      </w:tr>
      <w:tr w14:paraId="5064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B5C8B9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83 </w:t>
            </w:r>
          </w:p>
        </w:tc>
        <w:tc>
          <w:tcPr>
            <w:tcW w:w="775" w:type="dxa"/>
            <w:shd w:val="clear" w:color="auto" w:fill="auto"/>
            <w:tcMar>
              <w:top w:w="10" w:type="dxa"/>
              <w:left w:w="10" w:type="dxa"/>
              <w:right w:w="10" w:type="dxa"/>
            </w:tcMar>
            <w:vAlign w:val="center"/>
          </w:tcPr>
          <w:p w14:paraId="40894D7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9B7D77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对水利工程建设监理单位与项目法人或者被监理单位串通，弄虚作假、降低工程质量，将不合格的建设工程、建筑材料、建筑构配件和设备按照合格签字行为的行政处罚</w:t>
            </w:r>
          </w:p>
        </w:tc>
        <w:tc>
          <w:tcPr>
            <w:tcW w:w="548" w:type="dxa"/>
            <w:shd w:val="clear" w:color="auto" w:fill="auto"/>
            <w:tcMar>
              <w:top w:w="10" w:type="dxa"/>
              <w:left w:w="10" w:type="dxa"/>
              <w:right w:w="10" w:type="dxa"/>
            </w:tcMar>
            <w:vAlign w:val="center"/>
          </w:tcPr>
          <w:p w14:paraId="5A0C138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A31C07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3E7683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430E1B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 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第七十五条第一款 本条例规定的责令停业整顿，降低资质等级和吊销资质证书的行政处罚，由颁发资质证书的机关决定；其他行政处罚，由建设行政主管部门或者其他有关部门依照法定职权决定。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第七十条 违反本规定，监理单位有下列行为之一的，依照《建设工程质量管理条例》第六十七条规定，由水行政主管部门或者流域管理机构依据职权责令改正，处50万元以上100万元以下的罚款；有违法所得的，予以没收；造成损失的，承担连带赔偿责任：（一）与项目法人或者施工单位串通，弄虚作假、降低工程质量的；（二）将不合格的水利工程、原材料、中间产品和设备按照合格签字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监理单位有下列行为之一的，依照《建设工程质量管理条例》第六十条、第六十一条、第六十二条、第六十七条、第六十八条处罚：（六）与项目法人或者被监理单位串通，弄虚作假、降低工程质量的；（七）将不合格的建设工程、建筑材料、建筑构配件和设备按照合格签字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4.【部门规章】《实施工程建设强制性标准监督规定》（2000年8月25日中华人民共和国建设部令第81号发布，2021年第二次修正）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第十九条 工程监理单位违反强制性标准规定，将不合格的建设工程以及建筑材料、建筑构配件和设备按照合格签字的，责令改正，处50万元以上100万元以下的罚款，降低资质等级或者吊销资质证书；有违法所得的，予以没收；造成损失的，承担连带赔偿责任。</w:t>
            </w:r>
          </w:p>
        </w:tc>
        <w:tc>
          <w:tcPr>
            <w:tcW w:w="4075" w:type="dxa"/>
            <w:shd w:val="clear" w:color="auto" w:fill="auto"/>
            <w:tcMar>
              <w:top w:w="10" w:type="dxa"/>
              <w:left w:w="10" w:type="dxa"/>
              <w:right w:w="10" w:type="dxa"/>
            </w:tcMar>
            <w:vAlign w:val="center"/>
          </w:tcPr>
          <w:p w14:paraId="03B7DD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E8858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6BB42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6D06D3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BCDAD7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D19E4A7">
            <w:pPr>
              <w:jc w:val="center"/>
              <w:rPr>
                <w:rFonts w:hint="default" w:ascii="仿宋_GB2312" w:hAnsi="宋体" w:eastAsia="仿宋_GB2312" w:cs="仿宋_GB2312"/>
                <w:i w:val="0"/>
                <w:iCs w:val="0"/>
                <w:strike w:val="0"/>
                <w:dstrike w:val="0"/>
                <w:color w:val="auto"/>
                <w:sz w:val="21"/>
                <w:szCs w:val="21"/>
                <w:u w:val="none"/>
              </w:rPr>
            </w:pPr>
          </w:p>
        </w:tc>
      </w:tr>
      <w:tr w14:paraId="0E12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C845A8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84 </w:t>
            </w:r>
          </w:p>
        </w:tc>
        <w:tc>
          <w:tcPr>
            <w:tcW w:w="775" w:type="dxa"/>
            <w:shd w:val="clear" w:color="auto" w:fill="auto"/>
            <w:tcMar>
              <w:top w:w="10" w:type="dxa"/>
              <w:left w:w="10" w:type="dxa"/>
              <w:right w:w="10" w:type="dxa"/>
            </w:tcMar>
            <w:vAlign w:val="center"/>
          </w:tcPr>
          <w:p w14:paraId="68D015D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B01375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对水利工程建设监理单位与建设单位或者建筑施工企业串通，弄虚作假、降低工程质量等行为的行政处罚</w:t>
            </w:r>
          </w:p>
        </w:tc>
        <w:tc>
          <w:tcPr>
            <w:tcW w:w="548" w:type="dxa"/>
            <w:shd w:val="clear" w:color="auto" w:fill="auto"/>
            <w:tcMar>
              <w:top w:w="10" w:type="dxa"/>
              <w:left w:w="10" w:type="dxa"/>
              <w:right w:w="10" w:type="dxa"/>
            </w:tcMar>
            <w:vAlign w:val="center"/>
          </w:tcPr>
          <w:p w14:paraId="6FB0C56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5DF25F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789B8A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62489AE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第六十九条 工程监理单位与建设单位或者建筑施工企业串通，弄虚作假、降低工程质量的，责令改正，处以罚款，降低资质等级或者吊销资质证书；有违法所得的，予以没收；造成损失的，承担连带赔偿责任；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工程监理单位转让监理业务的，责令改正，没收违法所得，可以责令停业整顿，降低资质等级；情节严重的，吊销资质证书。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第六十八条 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第七十五条第一款 本条例规定的责令停业整顿，降低资质等级和吊销资质证书的行政处罚，由颁发资质证书的机关决定；其他行政处罚，由建设行政主管部门或者其他有关部门依照法定职权决定。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第七十一条 违反本规定，监理单位与被监理工程的施工单位以及原材料、中间产品和设备供应商等单位有隶属关系或者其他利害关系承担该项工程的监理业务的，依照《建设工程质量管理条例》第六十八条规定，由水行政主管部门或者流域管理机构依据职权责令改正，处5万元以上10万元以下的罚款；有违法所得的，予以没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有关单位违反本规定，依法应当责令停业整顿、降低资质等级或者吊销资质证书的，依照《建设工程质量管理条例》第七十五条、《建设工程勘察设计管理条例》第四十二条的规定处罚。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监理单位有下列行为之一的，依照《建设工程质量管理条例》第六十条、第六十一条、第六十二条、第六十七条、第六十八条处罚：（八）与被监理单位以及建筑材料、建筑构配件和设备供应单位有隶属关系或者其他利害关系承担该项工程建设监理业务的。</w:t>
            </w:r>
          </w:p>
        </w:tc>
        <w:tc>
          <w:tcPr>
            <w:tcW w:w="4075" w:type="dxa"/>
            <w:shd w:val="clear" w:color="auto" w:fill="auto"/>
            <w:tcMar>
              <w:top w:w="10" w:type="dxa"/>
              <w:left w:w="10" w:type="dxa"/>
              <w:right w:w="10" w:type="dxa"/>
            </w:tcMar>
            <w:vAlign w:val="center"/>
          </w:tcPr>
          <w:p w14:paraId="6D3E35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24370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0F3C8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DD3223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598C69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0C6123D">
            <w:pPr>
              <w:jc w:val="center"/>
              <w:rPr>
                <w:rFonts w:hint="default" w:ascii="仿宋_GB2312" w:hAnsi="宋体" w:eastAsia="仿宋_GB2312" w:cs="仿宋_GB2312"/>
                <w:i w:val="0"/>
                <w:iCs w:val="0"/>
                <w:strike w:val="0"/>
                <w:dstrike w:val="0"/>
                <w:color w:val="auto"/>
                <w:sz w:val="21"/>
                <w:szCs w:val="21"/>
                <w:u w:val="none"/>
              </w:rPr>
            </w:pPr>
          </w:p>
        </w:tc>
      </w:tr>
      <w:tr w14:paraId="6A04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DC7283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85 </w:t>
            </w:r>
          </w:p>
        </w:tc>
        <w:tc>
          <w:tcPr>
            <w:tcW w:w="775" w:type="dxa"/>
            <w:shd w:val="clear" w:color="auto" w:fill="auto"/>
            <w:tcMar>
              <w:top w:w="10" w:type="dxa"/>
              <w:left w:w="10" w:type="dxa"/>
              <w:right w:w="10" w:type="dxa"/>
            </w:tcMar>
            <w:vAlign w:val="center"/>
          </w:tcPr>
          <w:p w14:paraId="4C10FFE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253561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对水利领域施工单位在施工中偷工减料，使用不合格的建筑材料、建筑构配件和设备的，或者有不按照工程设计图纸或者施工技术标准施工等行为的行政处罚</w:t>
            </w:r>
          </w:p>
        </w:tc>
        <w:tc>
          <w:tcPr>
            <w:tcW w:w="548" w:type="dxa"/>
            <w:shd w:val="clear" w:color="auto" w:fill="auto"/>
            <w:tcMar>
              <w:top w:w="10" w:type="dxa"/>
              <w:left w:w="10" w:type="dxa"/>
              <w:right w:w="10" w:type="dxa"/>
            </w:tcMar>
            <w:vAlign w:val="center"/>
          </w:tcPr>
          <w:p w14:paraId="04B8708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DDCE3C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84F78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0490DE5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第七十四条 建筑施工企业在施工中偷工减料的，使用不合格的建筑材料、建筑构配件和设备的，或者有其他不按照工程设计图纸或者施工技术标准施工的行为的，责令改正，处以罚款；情节严重的，责令停业整顿，降低资质等级或者吊销资质证书；造成建筑工程质量不符合规定的质量标准的，负责返工、修理，并赔偿因此造成的损失；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第六十四条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 违反本规定，施工单位在施工中偷工减料的，使用不合格的原材料、中间产品和设备的，或者有不按照批准的设计文件或者技术标准施工的其他行为的，依照《建设工程质量管理条例》第六十四条规定，由水行政主管部门或者流域管理机构依据职权责令改正，处工程合同价款2%以上4%以下的罚款；造成水利工程质量不符合规定的质量标准的，负责返工、修理，并赔偿因此造成的损失。</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p>
        </w:tc>
        <w:tc>
          <w:tcPr>
            <w:tcW w:w="4075" w:type="dxa"/>
            <w:shd w:val="clear" w:color="auto" w:fill="auto"/>
            <w:tcMar>
              <w:top w:w="10" w:type="dxa"/>
              <w:left w:w="10" w:type="dxa"/>
              <w:right w:w="10" w:type="dxa"/>
            </w:tcMar>
            <w:vAlign w:val="center"/>
          </w:tcPr>
          <w:p w14:paraId="13C1DD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10536A6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DB0F82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68DEF9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AF6B7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8B6B488">
            <w:pPr>
              <w:jc w:val="center"/>
              <w:rPr>
                <w:rFonts w:hint="default" w:ascii="仿宋_GB2312" w:hAnsi="宋体" w:eastAsia="仿宋_GB2312" w:cs="仿宋_GB2312"/>
                <w:i w:val="0"/>
                <w:iCs w:val="0"/>
                <w:strike w:val="0"/>
                <w:dstrike w:val="0"/>
                <w:color w:val="auto"/>
                <w:sz w:val="21"/>
                <w:szCs w:val="21"/>
                <w:u w:val="none"/>
              </w:rPr>
            </w:pPr>
          </w:p>
        </w:tc>
      </w:tr>
      <w:tr w14:paraId="1C07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61DF1F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86 </w:t>
            </w:r>
          </w:p>
        </w:tc>
        <w:tc>
          <w:tcPr>
            <w:tcW w:w="775" w:type="dxa"/>
            <w:shd w:val="clear" w:color="auto" w:fill="auto"/>
            <w:tcMar>
              <w:top w:w="10" w:type="dxa"/>
              <w:left w:w="10" w:type="dxa"/>
              <w:right w:w="10" w:type="dxa"/>
            </w:tcMar>
            <w:vAlign w:val="center"/>
          </w:tcPr>
          <w:p w14:paraId="04370F0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0C1C1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对水利领域施工单位未对建筑材料、建筑构配件、设备和商品混凝土进行检验，或者未对涉及结构安全的试块、试件以及有关材料取样检测行为的行政处罚</w:t>
            </w:r>
          </w:p>
        </w:tc>
        <w:tc>
          <w:tcPr>
            <w:tcW w:w="548" w:type="dxa"/>
            <w:shd w:val="clear" w:color="auto" w:fill="auto"/>
            <w:tcMar>
              <w:top w:w="10" w:type="dxa"/>
              <w:left w:w="10" w:type="dxa"/>
              <w:right w:w="10" w:type="dxa"/>
            </w:tcMar>
            <w:vAlign w:val="center"/>
          </w:tcPr>
          <w:p w14:paraId="5BA79A1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D44D80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B5072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5CC875A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 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第六十八条 违反本规定，施工单位未对原材料、中间产品、设备进行检验，或者未对涉及结构安全的试块、试件以及有关材料取样检测的，依照《建设工程质量管理条例》第六十五条规定，由水行政主管部门或者流域管理机构依据职权责令改正，处10万元以上20万元以下的罚款；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p>
        </w:tc>
        <w:tc>
          <w:tcPr>
            <w:tcW w:w="4075" w:type="dxa"/>
            <w:shd w:val="clear" w:color="auto" w:fill="auto"/>
            <w:tcMar>
              <w:top w:w="10" w:type="dxa"/>
              <w:left w:w="10" w:type="dxa"/>
              <w:right w:w="10" w:type="dxa"/>
            </w:tcMar>
            <w:vAlign w:val="center"/>
          </w:tcPr>
          <w:p w14:paraId="7379FE6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10C0631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D1A3C3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932E92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97A77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DAB692B">
            <w:pPr>
              <w:jc w:val="center"/>
              <w:rPr>
                <w:rFonts w:hint="default" w:ascii="仿宋_GB2312" w:hAnsi="宋体" w:eastAsia="仿宋_GB2312" w:cs="仿宋_GB2312"/>
                <w:i w:val="0"/>
                <w:iCs w:val="0"/>
                <w:strike w:val="0"/>
                <w:dstrike w:val="0"/>
                <w:color w:val="auto"/>
                <w:sz w:val="21"/>
                <w:szCs w:val="21"/>
                <w:u w:val="none"/>
              </w:rPr>
            </w:pPr>
          </w:p>
        </w:tc>
      </w:tr>
      <w:tr w14:paraId="1E65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0A7553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87 </w:t>
            </w:r>
          </w:p>
        </w:tc>
        <w:tc>
          <w:tcPr>
            <w:tcW w:w="775" w:type="dxa"/>
            <w:shd w:val="clear" w:color="auto" w:fill="auto"/>
            <w:tcMar>
              <w:top w:w="10" w:type="dxa"/>
              <w:left w:w="10" w:type="dxa"/>
              <w:right w:w="10" w:type="dxa"/>
            </w:tcMar>
            <w:vAlign w:val="center"/>
          </w:tcPr>
          <w:p w14:paraId="60A2A3E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A520E8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对水利领域注册执业人员未执行法律、法规和工程建设强制性标准行为的行政处罚</w:t>
            </w:r>
          </w:p>
        </w:tc>
        <w:tc>
          <w:tcPr>
            <w:tcW w:w="548" w:type="dxa"/>
            <w:shd w:val="clear" w:color="auto" w:fill="auto"/>
            <w:tcMar>
              <w:top w:w="10" w:type="dxa"/>
              <w:left w:w="10" w:type="dxa"/>
              <w:right w:w="10" w:type="dxa"/>
            </w:tcMar>
            <w:vAlign w:val="center"/>
          </w:tcPr>
          <w:p w14:paraId="2346E80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0CB20C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CFA33B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3B532CA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4075" w:type="dxa"/>
            <w:shd w:val="clear" w:color="auto" w:fill="auto"/>
            <w:tcMar>
              <w:top w:w="10" w:type="dxa"/>
              <w:left w:w="10" w:type="dxa"/>
              <w:right w:w="10" w:type="dxa"/>
            </w:tcMar>
            <w:vAlign w:val="center"/>
          </w:tcPr>
          <w:p w14:paraId="6166D1C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A04771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EAF65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E66040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F57C8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70CE9DF">
            <w:pPr>
              <w:jc w:val="center"/>
              <w:rPr>
                <w:rFonts w:hint="default" w:ascii="仿宋_GB2312" w:hAnsi="宋体" w:eastAsia="仿宋_GB2312" w:cs="仿宋_GB2312"/>
                <w:i w:val="0"/>
                <w:iCs w:val="0"/>
                <w:strike w:val="0"/>
                <w:dstrike w:val="0"/>
                <w:color w:val="auto"/>
                <w:sz w:val="21"/>
                <w:szCs w:val="21"/>
                <w:u w:val="none"/>
              </w:rPr>
            </w:pPr>
          </w:p>
        </w:tc>
      </w:tr>
      <w:tr w14:paraId="18C0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B06F1A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88 </w:t>
            </w:r>
          </w:p>
        </w:tc>
        <w:tc>
          <w:tcPr>
            <w:tcW w:w="775" w:type="dxa"/>
            <w:shd w:val="clear" w:color="auto" w:fill="auto"/>
            <w:tcMar>
              <w:top w:w="10" w:type="dxa"/>
              <w:left w:w="10" w:type="dxa"/>
              <w:right w:w="10" w:type="dxa"/>
            </w:tcMar>
            <w:vAlign w:val="center"/>
          </w:tcPr>
          <w:p w14:paraId="5EED163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DE907D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对水利领域施工起重机械和整体提升脚手架、模板等自升式架设设施安装、拆卸单位未编制拆装方案，未由专业技术人员现场监督等行为的行政处罚</w:t>
            </w:r>
          </w:p>
        </w:tc>
        <w:tc>
          <w:tcPr>
            <w:tcW w:w="548" w:type="dxa"/>
            <w:shd w:val="clear" w:color="auto" w:fill="auto"/>
            <w:tcMar>
              <w:top w:w="10" w:type="dxa"/>
              <w:left w:w="10" w:type="dxa"/>
              <w:right w:w="10" w:type="dxa"/>
            </w:tcMar>
            <w:vAlign w:val="center"/>
          </w:tcPr>
          <w:p w14:paraId="4017C27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9D8B34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8520B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35893A5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第六十一条第一款 违反本条例的规定，施工起重机械和整体提升脚手架、模板等自升式架设设施安装、拆卸单位有下列行为之一的，责令限期改正，处5万元以上10万元以下的罚款；情节严重的，责令停业整顿，降低资质等级，直至吊销资质证书；造成 损失的，依法承担赔偿责任：（一）未编制拆装方案、制定安全施工措施的；（二）未由专业技术人员现场监督的；（三）未出具自检合格证明或者出具虚假证明的；（四）未向施工单位进行安全使用说明，办理移交手续的。</w:t>
            </w:r>
          </w:p>
        </w:tc>
        <w:tc>
          <w:tcPr>
            <w:tcW w:w="4075" w:type="dxa"/>
            <w:shd w:val="clear" w:color="auto" w:fill="auto"/>
            <w:tcMar>
              <w:top w:w="10" w:type="dxa"/>
              <w:left w:w="10" w:type="dxa"/>
              <w:right w:w="10" w:type="dxa"/>
            </w:tcMar>
            <w:vAlign w:val="center"/>
          </w:tcPr>
          <w:p w14:paraId="4EBF8D9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72BE1D8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F07C84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453279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B10DA0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64129E1">
            <w:pPr>
              <w:jc w:val="center"/>
              <w:rPr>
                <w:rFonts w:hint="default" w:ascii="仿宋_GB2312" w:hAnsi="宋体" w:eastAsia="仿宋_GB2312" w:cs="仿宋_GB2312"/>
                <w:i w:val="0"/>
                <w:iCs w:val="0"/>
                <w:strike w:val="0"/>
                <w:dstrike w:val="0"/>
                <w:color w:val="auto"/>
                <w:sz w:val="21"/>
                <w:szCs w:val="21"/>
                <w:u w:val="none"/>
              </w:rPr>
            </w:pPr>
          </w:p>
        </w:tc>
      </w:tr>
      <w:tr w14:paraId="544F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3850C0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89 </w:t>
            </w:r>
          </w:p>
        </w:tc>
        <w:tc>
          <w:tcPr>
            <w:tcW w:w="775" w:type="dxa"/>
            <w:shd w:val="clear" w:color="auto" w:fill="auto"/>
            <w:tcMar>
              <w:top w:w="10" w:type="dxa"/>
              <w:left w:w="10" w:type="dxa"/>
              <w:right w:w="10" w:type="dxa"/>
            </w:tcMar>
            <w:vAlign w:val="center"/>
          </w:tcPr>
          <w:p w14:paraId="553E868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BDEE97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对水利领域勘察单位未按照工程建设强制性标准进行勘察、设计单位未根据勘察成果文件进行工程设计等行为的行政处罚</w:t>
            </w:r>
          </w:p>
        </w:tc>
        <w:tc>
          <w:tcPr>
            <w:tcW w:w="548" w:type="dxa"/>
            <w:shd w:val="clear" w:color="auto" w:fill="auto"/>
            <w:tcMar>
              <w:top w:w="10" w:type="dxa"/>
              <w:left w:w="10" w:type="dxa"/>
              <w:right w:w="10" w:type="dxa"/>
            </w:tcMar>
            <w:vAlign w:val="center"/>
          </w:tcPr>
          <w:p w14:paraId="27C64DD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9B6863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888739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708C82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违反本条例规定，有下列行为之一的，责令改正，处10万元以上30万元以下的罚款：（一）勘察单位未按照工程建设强制性标准进行勘察的；（二）设计单位未根据勘察成果文件进行工程设计的；（三）设计单位指定建筑材料、建筑构配件的生产厂、供应商的；（四）设计单位未按照工程建设强制性标准进行设计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有前款所列行为，造成工程质量事故的，责令停业整顿，降低资质等级；情节严重的，吊销资质证书；造成损失的，依法承担赔偿责任。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第四十一条 违反本条例规定，有下列行为之一的，依照《建设工程质量管理条例》第六十三条的规定给予处罚：（一）勘察单位未按照工程建设强制性标准进行勘察的；（二）设计单位未根据勘察成果文件进行工程设计的；（三）设计单位指定建筑材料、建筑构配件的生产厂、供应商的；（四）设计单位未按照工程建设强制性标准进行设计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一）未按照法律、法规和工程建设强制性标准进行勘察、设计的；（二）采用新结构、新材料、新工艺的建设工程和特殊结构的建设工程，设计单位未在设计中提出保障施工作业人员安全和预防生产安全事故的措施建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第六十六条 违反本规定，勘察、设计单位有下列行为之一的，依照《建设工程质量管理条例》第六十三条规定，由水行政主管部门或者流域管理机构依据职权责令改正，处10万元以上30万元以下的罚款；造成损失的，依法承担赔偿责任：（一）勘察单位未按照工程建设强制性标准进行勘察的；（二）设计单位未根据勘察成果文件进行工程设计的；（三）设计单位指定原材料、中间产品和设备的生产厂、供应商的；（四）设计单位未按照工程建设强制性标准进行设计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5.【部门规章】《实施工程建设强制性标准监督规定》（2000年8月25日中华人民共和国建设部令第81号发布，2021年第二次修正）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第十七条 勘察、设计单位违反工程建设强制性标准进行勘察、设计的，责令改正，并处以10万元以上30万元以下的罚款。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有前款行为，造成工程质量事故的，责令停业整顿，降低资质等级；情节严重的，吊销资质证书；造成损失的，依法承担赔偿责任。</w:t>
            </w:r>
          </w:p>
        </w:tc>
        <w:tc>
          <w:tcPr>
            <w:tcW w:w="4075" w:type="dxa"/>
            <w:shd w:val="clear" w:color="auto" w:fill="auto"/>
            <w:tcMar>
              <w:top w:w="10" w:type="dxa"/>
              <w:left w:w="10" w:type="dxa"/>
              <w:right w:w="10" w:type="dxa"/>
            </w:tcMar>
            <w:vAlign w:val="center"/>
          </w:tcPr>
          <w:p w14:paraId="5D7925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878CE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D74AD2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23E20F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BEBCFE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AA82AC6">
            <w:pPr>
              <w:jc w:val="center"/>
              <w:rPr>
                <w:rFonts w:hint="default" w:ascii="仿宋_GB2312" w:hAnsi="宋体" w:eastAsia="仿宋_GB2312" w:cs="仿宋_GB2312"/>
                <w:i w:val="0"/>
                <w:iCs w:val="0"/>
                <w:strike w:val="0"/>
                <w:dstrike w:val="0"/>
                <w:color w:val="auto"/>
                <w:sz w:val="21"/>
                <w:szCs w:val="21"/>
                <w:u w:val="none"/>
              </w:rPr>
            </w:pPr>
          </w:p>
        </w:tc>
      </w:tr>
      <w:tr w14:paraId="6746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8CE954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90 </w:t>
            </w:r>
          </w:p>
        </w:tc>
        <w:tc>
          <w:tcPr>
            <w:tcW w:w="775" w:type="dxa"/>
            <w:shd w:val="clear" w:color="auto" w:fill="auto"/>
            <w:tcMar>
              <w:top w:w="10" w:type="dxa"/>
              <w:left w:w="10" w:type="dxa"/>
              <w:right w:w="10" w:type="dxa"/>
            </w:tcMar>
            <w:vAlign w:val="center"/>
          </w:tcPr>
          <w:p w14:paraId="7069570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949B74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对水利领域施工单位不履行保修义务或者拖延履行保修义务行为的行政处罚</w:t>
            </w:r>
          </w:p>
        </w:tc>
        <w:tc>
          <w:tcPr>
            <w:tcW w:w="548" w:type="dxa"/>
            <w:shd w:val="clear" w:color="auto" w:fill="auto"/>
            <w:tcMar>
              <w:top w:w="10" w:type="dxa"/>
              <w:left w:w="10" w:type="dxa"/>
              <w:right w:w="10" w:type="dxa"/>
            </w:tcMar>
            <w:vAlign w:val="center"/>
          </w:tcPr>
          <w:p w14:paraId="47A0644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7D5F97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19DDFF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63F27A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第七十五条 建筑施工企业违反本法规定，不履行保修义务或者拖延履行保修义务的，责令改正，可以处以罚款，并对在保修期内因屋顶、墙面渗漏、开裂等质量缺陷造成的损失，承担赔偿责任。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第六十六条 违反本条例规定，施工单位不履行保修义务或者拖延履行保修义务的，责令改正，处10万元以上20万元以下的罚款，并对在保修期内因质量缺陷造成的损失承担赔偿责任。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依照本条例规定，给予单位罚款处罚的，对单位直接负责的主管人员和其他直接责任人员处单位罚款数额5%以上10%以下的罚款。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第六十九条 违反本规定，施工单位不履行保修义务或者拖延履行保修义务的，依照《建设工程质量管理条例》第六十六条规定，由水行政主管部门或者流域管理机构依据职权责令改正，处10万元以上20万元以下的罚款，并对在保修期内因质量缺陷造成的损失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第七十三条第二款 依照《建设工程质量管理条例》给予单位罚款处罚的，对单位直接负责的主管人员和其他直接责任人员处单位罚款数额5%以上10%以下的罚款。</w:t>
            </w:r>
          </w:p>
        </w:tc>
        <w:tc>
          <w:tcPr>
            <w:tcW w:w="4075" w:type="dxa"/>
            <w:shd w:val="clear" w:color="auto" w:fill="auto"/>
            <w:tcMar>
              <w:top w:w="10" w:type="dxa"/>
              <w:left w:w="10" w:type="dxa"/>
              <w:right w:w="10" w:type="dxa"/>
            </w:tcMar>
            <w:vAlign w:val="center"/>
          </w:tcPr>
          <w:p w14:paraId="07C02D4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25B823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67BA2C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EABE2A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45602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BE37CA3">
            <w:pPr>
              <w:jc w:val="center"/>
              <w:rPr>
                <w:rFonts w:hint="default" w:ascii="仿宋_GB2312" w:hAnsi="宋体" w:eastAsia="仿宋_GB2312" w:cs="仿宋_GB2312"/>
                <w:i w:val="0"/>
                <w:iCs w:val="0"/>
                <w:strike w:val="0"/>
                <w:dstrike w:val="0"/>
                <w:color w:val="auto"/>
                <w:sz w:val="21"/>
                <w:szCs w:val="21"/>
                <w:u w:val="none"/>
              </w:rPr>
            </w:pPr>
          </w:p>
        </w:tc>
      </w:tr>
      <w:tr w14:paraId="732E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0853C9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91 </w:t>
            </w:r>
          </w:p>
        </w:tc>
        <w:tc>
          <w:tcPr>
            <w:tcW w:w="775" w:type="dxa"/>
            <w:shd w:val="clear" w:color="auto" w:fill="auto"/>
            <w:tcMar>
              <w:top w:w="10" w:type="dxa"/>
              <w:left w:w="10" w:type="dxa"/>
              <w:right w:w="10" w:type="dxa"/>
            </w:tcMar>
            <w:vAlign w:val="center"/>
          </w:tcPr>
          <w:p w14:paraId="4D6113C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ED7AD9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对水库、水电站、拦河闸坝等工程的管理单位以及其他经营工程设施的经营者拒不服从统一调度和指挥行为的行政处罚</w:t>
            </w:r>
          </w:p>
        </w:tc>
        <w:tc>
          <w:tcPr>
            <w:tcW w:w="548" w:type="dxa"/>
            <w:shd w:val="clear" w:color="auto" w:fill="auto"/>
            <w:tcMar>
              <w:top w:w="10" w:type="dxa"/>
              <w:left w:w="10" w:type="dxa"/>
              <w:right w:w="10" w:type="dxa"/>
            </w:tcMar>
            <w:vAlign w:val="center"/>
          </w:tcPr>
          <w:p w14:paraId="3338B47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3C1D82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D46DD9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0D77E33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1.【行政法规】《中华人民共和国抗旱条例》（2009年国务院令第552号公布）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条例规定，水库、水电站、拦河闸坝等工程的管理单位以及其他经营工程设施的经营者拒不服从统一调度和指挥的，由县级以上人民政府水行政主管部门或者流域管理机构责令改正，给予警告；拒不改正的，强制执行，处1万元以上5万元以下的罚款。</w:t>
            </w:r>
          </w:p>
        </w:tc>
        <w:tc>
          <w:tcPr>
            <w:tcW w:w="4075" w:type="dxa"/>
            <w:shd w:val="clear" w:color="auto" w:fill="auto"/>
            <w:tcMar>
              <w:top w:w="10" w:type="dxa"/>
              <w:left w:w="10" w:type="dxa"/>
              <w:right w:w="10" w:type="dxa"/>
            </w:tcMar>
            <w:vAlign w:val="center"/>
          </w:tcPr>
          <w:p w14:paraId="6D06CE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4706DF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AEB09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BA934D7">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090DB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B31CE9A">
            <w:pPr>
              <w:jc w:val="center"/>
              <w:rPr>
                <w:rFonts w:hint="default" w:ascii="仿宋_GB2312" w:hAnsi="宋体" w:eastAsia="仿宋_GB2312" w:cs="仿宋_GB2312"/>
                <w:i w:val="0"/>
                <w:iCs w:val="0"/>
                <w:strike w:val="0"/>
                <w:dstrike w:val="0"/>
                <w:color w:val="auto"/>
                <w:sz w:val="21"/>
                <w:szCs w:val="21"/>
                <w:u w:val="none"/>
              </w:rPr>
            </w:pPr>
          </w:p>
        </w:tc>
      </w:tr>
      <w:tr w14:paraId="36F1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075C0F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92 </w:t>
            </w:r>
          </w:p>
        </w:tc>
        <w:tc>
          <w:tcPr>
            <w:tcW w:w="775" w:type="dxa"/>
            <w:shd w:val="clear" w:color="auto" w:fill="auto"/>
            <w:tcMar>
              <w:top w:w="10" w:type="dxa"/>
              <w:left w:w="10" w:type="dxa"/>
              <w:right w:w="10" w:type="dxa"/>
            </w:tcMar>
            <w:vAlign w:val="center"/>
          </w:tcPr>
          <w:p w14:paraId="0873349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760643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对在河道中流放竹木或者进行水产养殖、捕捞作业，影响河道行洪、排涝、航运和危及水工程安全行为的行政处罚</w:t>
            </w:r>
          </w:p>
        </w:tc>
        <w:tc>
          <w:tcPr>
            <w:tcW w:w="548" w:type="dxa"/>
            <w:shd w:val="clear" w:color="auto" w:fill="auto"/>
            <w:tcMar>
              <w:top w:w="10" w:type="dxa"/>
              <w:left w:w="10" w:type="dxa"/>
              <w:right w:w="10" w:type="dxa"/>
            </w:tcMar>
            <w:vAlign w:val="center"/>
          </w:tcPr>
          <w:p w14:paraId="4564930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D70C30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A3FBA3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438AA7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1.【地方性法规】《广西壮族自治区河道管理规定》（2000年自治区九届人民代表大会常务委员会公告第26号发布，2018年自治区人民代表大会常务委员会公告13届第7号修正）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违反本规定第十二条规定，在河道中流放竹木或者进行水产养殖、捕捞作业，影响河道行洪、排涝、航运和危及水工程安全的，由河道主管机关责令停止违法行为，排除阻碍或者采取其他补救措施，可以处五百元以上五千元以下的罚款。</w:t>
            </w:r>
          </w:p>
        </w:tc>
        <w:tc>
          <w:tcPr>
            <w:tcW w:w="4075" w:type="dxa"/>
            <w:shd w:val="clear" w:color="auto" w:fill="auto"/>
            <w:tcMar>
              <w:top w:w="10" w:type="dxa"/>
              <w:left w:w="10" w:type="dxa"/>
              <w:right w:w="10" w:type="dxa"/>
            </w:tcMar>
            <w:vAlign w:val="center"/>
          </w:tcPr>
          <w:p w14:paraId="26A1D6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35DD9FD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C7FF0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B6D4E6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9966AD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1687AD9">
            <w:pPr>
              <w:jc w:val="center"/>
              <w:rPr>
                <w:rFonts w:hint="default" w:ascii="仿宋_GB2312" w:hAnsi="宋体" w:eastAsia="仿宋_GB2312" w:cs="仿宋_GB2312"/>
                <w:i w:val="0"/>
                <w:iCs w:val="0"/>
                <w:strike w:val="0"/>
                <w:dstrike w:val="0"/>
                <w:color w:val="auto"/>
                <w:sz w:val="21"/>
                <w:szCs w:val="21"/>
                <w:u w:val="none"/>
              </w:rPr>
            </w:pPr>
          </w:p>
        </w:tc>
      </w:tr>
      <w:tr w14:paraId="7E9E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D53836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93 </w:t>
            </w:r>
          </w:p>
        </w:tc>
        <w:tc>
          <w:tcPr>
            <w:tcW w:w="775" w:type="dxa"/>
            <w:shd w:val="clear" w:color="auto" w:fill="auto"/>
            <w:tcMar>
              <w:top w:w="10" w:type="dxa"/>
              <w:left w:w="10" w:type="dxa"/>
              <w:right w:w="10" w:type="dxa"/>
            </w:tcMar>
            <w:vAlign w:val="center"/>
          </w:tcPr>
          <w:p w14:paraId="76850F9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8FA781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对擅自砍伐护堤护岸林木行为的行政处罚</w:t>
            </w:r>
          </w:p>
        </w:tc>
        <w:tc>
          <w:tcPr>
            <w:tcW w:w="548" w:type="dxa"/>
            <w:shd w:val="clear" w:color="auto" w:fill="auto"/>
            <w:tcMar>
              <w:top w:w="10" w:type="dxa"/>
              <w:left w:w="10" w:type="dxa"/>
              <w:right w:w="10" w:type="dxa"/>
            </w:tcMar>
            <w:vAlign w:val="center"/>
          </w:tcPr>
          <w:p w14:paraId="5F24824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D2474B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D66BC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21B94BD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1.【行政法规】《中华人民共和国河道管理条例》（1988年国务院令第3号公布，2018年国务院令第698号第四次修正）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七）擅自砍伐护堤护岸林木的；</w:t>
            </w:r>
          </w:p>
        </w:tc>
        <w:tc>
          <w:tcPr>
            <w:tcW w:w="4075" w:type="dxa"/>
            <w:shd w:val="clear" w:color="auto" w:fill="auto"/>
            <w:tcMar>
              <w:top w:w="10" w:type="dxa"/>
              <w:left w:w="10" w:type="dxa"/>
              <w:right w:w="10" w:type="dxa"/>
            </w:tcMar>
            <w:vAlign w:val="center"/>
          </w:tcPr>
          <w:p w14:paraId="4D7E3B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040C55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25EA5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6DB3E6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A4F36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5772804">
            <w:pPr>
              <w:jc w:val="center"/>
              <w:rPr>
                <w:rFonts w:hint="default" w:ascii="仿宋_GB2312" w:hAnsi="宋体" w:eastAsia="仿宋_GB2312" w:cs="仿宋_GB2312"/>
                <w:i w:val="0"/>
                <w:iCs w:val="0"/>
                <w:strike w:val="0"/>
                <w:dstrike w:val="0"/>
                <w:color w:val="auto"/>
                <w:sz w:val="21"/>
                <w:szCs w:val="21"/>
                <w:u w:val="none"/>
              </w:rPr>
            </w:pPr>
          </w:p>
        </w:tc>
      </w:tr>
      <w:tr w14:paraId="711F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3D33B5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94 </w:t>
            </w:r>
          </w:p>
        </w:tc>
        <w:tc>
          <w:tcPr>
            <w:tcW w:w="775" w:type="dxa"/>
            <w:shd w:val="clear" w:color="auto" w:fill="auto"/>
            <w:tcMar>
              <w:top w:w="10" w:type="dxa"/>
              <w:left w:w="10" w:type="dxa"/>
              <w:right w:w="10" w:type="dxa"/>
            </w:tcMar>
            <w:vAlign w:val="center"/>
          </w:tcPr>
          <w:p w14:paraId="292EF99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DEB96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对机动车辆在无机动车通行功能的堤顶、坝顶、水闸工作桥及渠岸上通行行为的行政处罚</w:t>
            </w:r>
          </w:p>
        </w:tc>
        <w:tc>
          <w:tcPr>
            <w:tcW w:w="548" w:type="dxa"/>
            <w:shd w:val="clear" w:color="auto" w:fill="auto"/>
            <w:tcMar>
              <w:top w:w="10" w:type="dxa"/>
              <w:left w:w="10" w:type="dxa"/>
              <w:right w:w="10" w:type="dxa"/>
            </w:tcMar>
            <w:vAlign w:val="center"/>
          </w:tcPr>
          <w:p w14:paraId="57AA261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C516D3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DA8D29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965D9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1.【地方性法规】《广西壮族自治区水利工程管理条例》（1987年自治区第六届人民代表大会常务委员会第二十五次会议通过，2016年自治区人民代表大会常务委员会公告12届第63号修正）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第三十一条 无机动车通行功能的堤顶、坝顶、水闸工作桥及渠岸，水行政主管部门应当设置禁行标志，除执行防汛抢险、水利工程管理和维护任务的车辆外，其他机动车辆禁止通行。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利用堤顶、坝顶、水闸、渠岸、护堤地兼做公路的，应当符合防洪和相关技术要求，并经水行政主管部门批准。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违反本条例第三十一条第一款规定，机动车辆在无机动车通行功能的堤顶、坝顶、水闸工作桥及渠岸上通行的，由水行政主管部门责令停止违法行为，处五百元以上三千元以下的罚款；造成损失的，依法承担赔偿责任。</w:t>
            </w:r>
          </w:p>
        </w:tc>
        <w:tc>
          <w:tcPr>
            <w:tcW w:w="4075" w:type="dxa"/>
            <w:shd w:val="clear" w:color="auto" w:fill="auto"/>
            <w:tcMar>
              <w:top w:w="10" w:type="dxa"/>
              <w:left w:w="10" w:type="dxa"/>
              <w:right w:w="10" w:type="dxa"/>
            </w:tcMar>
            <w:vAlign w:val="center"/>
          </w:tcPr>
          <w:p w14:paraId="1637A9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E65C96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990EE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0E1467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39073F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8451A9C">
            <w:pPr>
              <w:jc w:val="center"/>
              <w:rPr>
                <w:rFonts w:hint="default" w:ascii="仿宋_GB2312" w:hAnsi="宋体" w:eastAsia="仿宋_GB2312" w:cs="仿宋_GB2312"/>
                <w:i w:val="0"/>
                <w:iCs w:val="0"/>
                <w:strike w:val="0"/>
                <w:dstrike w:val="0"/>
                <w:color w:val="auto"/>
                <w:sz w:val="21"/>
                <w:szCs w:val="21"/>
                <w:u w:val="none"/>
              </w:rPr>
            </w:pPr>
          </w:p>
        </w:tc>
      </w:tr>
      <w:tr w14:paraId="4AEF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3BE80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95 </w:t>
            </w:r>
          </w:p>
        </w:tc>
        <w:tc>
          <w:tcPr>
            <w:tcW w:w="775" w:type="dxa"/>
            <w:shd w:val="clear" w:color="auto" w:fill="auto"/>
            <w:tcMar>
              <w:top w:w="10" w:type="dxa"/>
              <w:left w:w="10" w:type="dxa"/>
              <w:right w:w="10" w:type="dxa"/>
            </w:tcMar>
            <w:vAlign w:val="center"/>
          </w:tcPr>
          <w:p w14:paraId="3FF26A5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8DB5D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对已登记的大坝有关安全的数据和情况发生变更而未及时申报换证或在具体事项办理中有弄虚作假行为的行政处罚</w:t>
            </w:r>
          </w:p>
        </w:tc>
        <w:tc>
          <w:tcPr>
            <w:tcW w:w="548" w:type="dxa"/>
            <w:shd w:val="clear" w:color="auto" w:fill="auto"/>
            <w:tcMar>
              <w:top w:w="10" w:type="dxa"/>
              <w:left w:w="10" w:type="dxa"/>
              <w:right w:w="10" w:type="dxa"/>
            </w:tcMar>
            <w:vAlign w:val="center"/>
          </w:tcPr>
          <w:p w14:paraId="0EB974E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C1F2C8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711C85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3A89D73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1.【部门规章】《水库大坝注册登记办法》（水利部水管〔1995〕290号发布，1997年修订）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第十一条 经发现已登记的大坝有关安全的数据和情况发生变更而未及时申报换证或在具体事项办理中有弄虚作假行为，由县级以上水库大坝主管部门对大坝管理单位处以警告或1000元以下罚款，对有关责任人员由其上级主管部门给予行政处分。</w:t>
            </w:r>
          </w:p>
        </w:tc>
        <w:tc>
          <w:tcPr>
            <w:tcW w:w="4075" w:type="dxa"/>
            <w:shd w:val="clear" w:color="auto" w:fill="auto"/>
            <w:tcMar>
              <w:top w:w="10" w:type="dxa"/>
              <w:left w:w="10" w:type="dxa"/>
              <w:right w:w="10" w:type="dxa"/>
            </w:tcMar>
            <w:vAlign w:val="center"/>
          </w:tcPr>
          <w:p w14:paraId="36B4CFF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61DA97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CFCDF0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AA4A52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6BEF9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DEB396C">
            <w:pPr>
              <w:jc w:val="center"/>
              <w:rPr>
                <w:rFonts w:hint="default" w:ascii="仿宋_GB2312" w:hAnsi="宋体" w:eastAsia="仿宋_GB2312" w:cs="仿宋_GB2312"/>
                <w:i w:val="0"/>
                <w:iCs w:val="0"/>
                <w:strike w:val="0"/>
                <w:dstrike w:val="0"/>
                <w:color w:val="auto"/>
                <w:sz w:val="21"/>
                <w:szCs w:val="21"/>
                <w:u w:val="none"/>
              </w:rPr>
            </w:pPr>
          </w:p>
        </w:tc>
      </w:tr>
      <w:tr w14:paraId="24B2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777F89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96 </w:t>
            </w:r>
          </w:p>
        </w:tc>
        <w:tc>
          <w:tcPr>
            <w:tcW w:w="775" w:type="dxa"/>
            <w:shd w:val="clear" w:color="auto" w:fill="auto"/>
            <w:tcMar>
              <w:top w:w="10" w:type="dxa"/>
              <w:left w:w="10" w:type="dxa"/>
              <w:right w:w="10" w:type="dxa"/>
            </w:tcMar>
            <w:vAlign w:val="center"/>
          </w:tcPr>
          <w:p w14:paraId="5ED554B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F30AFE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对水利领域建筑施工企业对建筑安全事故隐患不采取措施予以消除等行为的行政处罚</w:t>
            </w:r>
          </w:p>
        </w:tc>
        <w:tc>
          <w:tcPr>
            <w:tcW w:w="548" w:type="dxa"/>
            <w:shd w:val="clear" w:color="auto" w:fill="auto"/>
            <w:tcMar>
              <w:top w:w="10" w:type="dxa"/>
              <w:left w:w="10" w:type="dxa"/>
              <w:right w:w="10" w:type="dxa"/>
            </w:tcMar>
            <w:vAlign w:val="center"/>
          </w:tcPr>
          <w:p w14:paraId="348A3CE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39C039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7AACB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29C5D7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第七十一条 建筑施工企业违反本法规定，对建筑安全事故隐患不采取措施予以消除的，责令改正，可以处以罚款；情节严重的，责令停业整顿，降低资质等级或者吊销资质证书；构成犯罪的，依法追究刑事责任。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建筑施工企业的管理人员违章指挥、强令职工冒险作业，因而发生重大伤亡事故或者造成其他严重后果的，依法追究刑事责任。</w:t>
            </w:r>
          </w:p>
        </w:tc>
        <w:tc>
          <w:tcPr>
            <w:tcW w:w="4075" w:type="dxa"/>
            <w:shd w:val="clear" w:color="auto" w:fill="auto"/>
            <w:tcMar>
              <w:top w:w="10" w:type="dxa"/>
              <w:left w:w="10" w:type="dxa"/>
              <w:right w:w="10" w:type="dxa"/>
            </w:tcMar>
            <w:vAlign w:val="center"/>
          </w:tcPr>
          <w:p w14:paraId="6B89D8C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3CF0625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594B0F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741A62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88664F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1336D06">
            <w:pPr>
              <w:jc w:val="center"/>
              <w:rPr>
                <w:rFonts w:hint="default" w:ascii="仿宋_GB2312" w:hAnsi="宋体" w:eastAsia="仿宋_GB2312" w:cs="仿宋_GB2312"/>
                <w:i w:val="0"/>
                <w:iCs w:val="0"/>
                <w:strike w:val="0"/>
                <w:dstrike w:val="0"/>
                <w:color w:val="auto"/>
                <w:sz w:val="21"/>
                <w:szCs w:val="21"/>
                <w:u w:val="none"/>
              </w:rPr>
            </w:pPr>
          </w:p>
        </w:tc>
      </w:tr>
      <w:tr w14:paraId="4254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D4D31F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97 </w:t>
            </w:r>
          </w:p>
        </w:tc>
        <w:tc>
          <w:tcPr>
            <w:tcW w:w="775" w:type="dxa"/>
            <w:shd w:val="clear" w:color="auto" w:fill="auto"/>
            <w:tcMar>
              <w:top w:w="10" w:type="dxa"/>
              <w:left w:w="10" w:type="dxa"/>
              <w:right w:w="10" w:type="dxa"/>
            </w:tcMar>
            <w:vAlign w:val="center"/>
          </w:tcPr>
          <w:p w14:paraId="27BF553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F13410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对水利领域建筑设计单位不按照建筑工程质量、安全标准进行设计等行为的行政处罚</w:t>
            </w:r>
          </w:p>
        </w:tc>
        <w:tc>
          <w:tcPr>
            <w:tcW w:w="548" w:type="dxa"/>
            <w:shd w:val="clear" w:color="auto" w:fill="auto"/>
            <w:tcMar>
              <w:top w:w="10" w:type="dxa"/>
              <w:left w:w="10" w:type="dxa"/>
              <w:right w:w="10" w:type="dxa"/>
            </w:tcMar>
            <w:vAlign w:val="center"/>
          </w:tcPr>
          <w:p w14:paraId="6E490F8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0324CE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590CEA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5FD59E0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1.【法律】《中华人民共和国建筑法》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第七十三条 建筑设计单位不按照建筑工程质量、安全标准进行设计的，责令改正，处以罚款；造成工程质量事故的，责令停业整顿，降低资质等级或者吊销资质证书，没收违法所得，并处罚款；造成损失的，承担赔偿责任；构成犯罪的，依法追究刑事责任。</w:t>
            </w:r>
          </w:p>
        </w:tc>
        <w:tc>
          <w:tcPr>
            <w:tcW w:w="4075" w:type="dxa"/>
            <w:shd w:val="clear" w:color="auto" w:fill="auto"/>
            <w:tcMar>
              <w:top w:w="10" w:type="dxa"/>
              <w:left w:w="10" w:type="dxa"/>
              <w:right w:w="10" w:type="dxa"/>
            </w:tcMar>
            <w:vAlign w:val="center"/>
          </w:tcPr>
          <w:p w14:paraId="1F6D963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52B131F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41A5A3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1B7FA8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6F550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1A5A815">
            <w:pPr>
              <w:jc w:val="center"/>
              <w:rPr>
                <w:rFonts w:hint="default" w:ascii="仿宋_GB2312" w:hAnsi="宋体" w:eastAsia="仿宋_GB2312" w:cs="仿宋_GB2312"/>
                <w:i w:val="0"/>
                <w:iCs w:val="0"/>
                <w:strike w:val="0"/>
                <w:dstrike w:val="0"/>
                <w:color w:val="auto"/>
                <w:sz w:val="21"/>
                <w:szCs w:val="21"/>
                <w:u w:val="none"/>
              </w:rPr>
            </w:pPr>
          </w:p>
        </w:tc>
      </w:tr>
      <w:tr w14:paraId="4C6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94D5F9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98 </w:t>
            </w:r>
          </w:p>
        </w:tc>
        <w:tc>
          <w:tcPr>
            <w:tcW w:w="775" w:type="dxa"/>
            <w:shd w:val="clear" w:color="auto" w:fill="auto"/>
            <w:tcMar>
              <w:top w:w="10" w:type="dxa"/>
              <w:left w:w="10" w:type="dxa"/>
              <w:right w:w="10" w:type="dxa"/>
            </w:tcMar>
            <w:vAlign w:val="center"/>
          </w:tcPr>
          <w:p w14:paraId="2A25A8E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D6DF4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对水利领域建设单位提出不符合安全生产法律、法规和强制性标准规定的要求，要求施工单位压缩合同约定的工期等行为的行政处罚</w:t>
            </w:r>
          </w:p>
        </w:tc>
        <w:tc>
          <w:tcPr>
            <w:tcW w:w="548" w:type="dxa"/>
            <w:shd w:val="clear" w:color="auto" w:fill="auto"/>
            <w:tcMar>
              <w:top w:w="10" w:type="dxa"/>
              <w:left w:w="10" w:type="dxa"/>
              <w:right w:w="10" w:type="dxa"/>
            </w:tcMar>
            <w:vAlign w:val="center"/>
          </w:tcPr>
          <w:p w14:paraId="49EAC99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BCDA32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CAAA6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3BA865D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第二十五条第二款 项目法人对监理单位提出不符合安全生产法律、法规和工程建设强制性标准要求的，依照《建设工程安全生产管理条例》第五十五条处罚。</w:t>
            </w:r>
          </w:p>
        </w:tc>
        <w:tc>
          <w:tcPr>
            <w:tcW w:w="4075" w:type="dxa"/>
            <w:shd w:val="clear" w:color="auto" w:fill="auto"/>
            <w:tcMar>
              <w:top w:w="10" w:type="dxa"/>
              <w:left w:w="10" w:type="dxa"/>
              <w:right w:w="10" w:type="dxa"/>
            </w:tcMar>
            <w:vAlign w:val="center"/>
          </w:tcPr>
          <w:p w14:paraId="247C1A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D978D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44C95F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43C7F1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D1A81C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F233CA7">
            <w:pPr>
              <w:jc w:val="center"/>
              <w:rPr>
                <w:rFonts w:hint="default" w:ascii="仿宋_GB2312" w:hAnsi="宋体" w:eastAsia="仿宋_GB2312" w:cs="仿宋_GB2312"/>
                <w:i w:val="0"/>
                <w:iCs w:val="0"/>
                <w:strike w:val="0"/>
                <w:dstrike w:val="0"/>
                <w:color w:val="auto"/>
                <w:sz w:val="21"/>
                <w:szCs w:val="21"/>
                <w:u w:val="none"/>
              </w:rPr>
            </w:pPr>
          </w:p>
        </w:tc>
      </w:tr>
      <w:tr w14:paraId="12CB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4E1E99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99 </w:t>
            </w:r>
          </w:p>
        </w:tc>
        <w:tc>
          <w:tcPr>
            <w:tcW w:w="775" w:type="dxa"/>
            <w:shd w:val="clear" w:color="auto" w:fill="auto"/>
            <w:tcMar>
              <w:top w:w="10" w:type="dxa"/>
              <w:left w:w="10" w:type="dxa"/>
              <w:right w:w="10" w:type="dxa"/>
            </w:tcMar>
            <w:vAlign w:val="center"/>
          </w:tcPr>
          <w:p w14:paraId="0B3F88E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BF6264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对水利工程建设监理单位未对施工组织设计中的安全技术措施或者专项施工方案进行审查，发现安全事故隐患未及时要求施工单位整改或者暂时停止施工等行为的行政处罚</w:t>
            </w:r>
          </w:p>
        </w:tc>
        <w:tc>
          <w:tcPr>
            <w:tcW w:w="548" w:type="dxa"/>
            <w:shd w:val="clear" w:color="auto" w:fill="auto"/>
            <w:tcMar>
              <w:top w:w="10" w:type="dxa"/>
              <w:left w:w="10" w:type="dxa"/>
              <w:right w:w="10" w:type="dxa"/>
            </w:tcMar>
            <w:vAlign w:val="center"/>
          </w:tcPr>
          <w:p w14:paraId="2E0820B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0B5B09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7FFE0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49CF42E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二）发现安全事故隐患未及时要求施工单位整改或者暂时停止施工的；（三）施工单位拒不整改或者不停止施工，未及时向有关主管部门报告的；（四）未依照法律、法规和工程建设强制性标准实施监理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2.【部门规章】《水利工程建设监理规定》（2006年水利部令第28号发布，2017年水利部令第49号修正）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监理单位有下列行为之一的，依照《建设工程安全生产管理条例》第五十七条处罚：（一）未对施工组织设计中的安全技术措施或者专项施工方案进行审查的；（二）发现安全事故隐患未及时要求施工单位整改或者暂时停止施工的；（三）施工单位拒不整改或者不停止施工，未及时向有关水行政主管部门或者流域管理机构报告的；（四）未依照法律、法规和工程建设强制性标准实施监理的。</w:t>
            </w:r>
          </w:p>
        </w:tc>
        <w:tc>
          <w:tcPr>
            <w:tcW w:w="4075" w:type="dxa"/>
            <w:shd w:val="clear" w:color="auto" w:fill="auto"/>
            <w:tcMar>
              <w:top w:w="10" w:type="dxa"/>
              <w:left w:w="10" w:type="dxa"/>
              <w:right w:w="10" w:type="dxa"/>
            </w:tcMar>
            <w:vAlign w:val="center"/>
          </w:tcPr>
          <w:p w14:paraId="41432B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9BD1B9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7DF675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9989BE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8A874A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E4D59A3">
            <w:pPr>
              <w:jc w:val="center"/>
              <w:rPr>
                <w:rFonts w:hint="default" w:ascii="仿宋_GB2312" w:hAnsi="宋体" w:eastAsia="仿宋_GB2312" w:cs="仿宋_GB2312"/>
                <w:i w:val="0"/>
                <w:iCs w:val="0"/>
                <w:strike w:val="0"/>
                <w:dstrike w:val="0"/>
                <w:color w:val="auto"/>
                <w:sz w:val="21"/>
                <w:szCs w:val="21"/>
                <w:u w:val="none"/>
              </w:rPr>
            </w:pPr>
          </w:p>
        </w:tc>
      </w:tr>
      <w:tr w14:paraId="2AA9D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D61EF8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100 </w:t>
            </w:r>
          </w:p>
        </w:tc>
        <w:tc>
          <w:tcPr>
            <w:tcW w:w="775" w:type="dxa"/>
            <w:shd w:val="clear" w:color="auto" w:fill="auto"/>
            <w:tcMar>
              <w:top w:w="10" w:type="dxa"/>
              <w:left w:w="10" w:type="dxa"/>
              <w:right w:w="10" w:type="dxa"/>
            </w:tcMar>
            <w:vAlign w:val="center"/>
          </w:tcPr>
          <w:p w14:paraId="797243F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C43229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对水利领域为建设工程提供机械设备和配件的单位违反规定未按照安全施工的要求配备齐全有效的保险、限位等安全设施和装置行为的行政处罚</w:t>
            </w:r>
          </w:p>
        </w:tc>
        <w:tc>
          <w:tcPr>
            <w:tcW w:w="548" w:type="dxa"/>
            <w:shd w:val="clear" w:color="auto" w:fill="auto"/>
            <w:tcMar>
              <w:top w:w="10" w:type="dxa"/>
              <w:left w:w="10" w:type="dxa"/>
              <w:right w:w="10" w:type="dxa"/>
            </w:tcMar>
            <w:vAlign w:val="center"/>
          </w:tcPr>
          <w:p w14:paraId="2B57035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A5CE27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41B38B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043130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第五十九条 违反本条例的规定，为建设工程提供机械设备和配件的单位，未按照安全施工的要求配备齐全有效的保险、限位等安全设施和装置的，责令限期改正，处合同价款1倍以上3倍以下的罚款；造成损失的，依法承担赔偿责任。</w:t>
            </w:r>
          </w:p>
        </w:tc>
        <w:tc>
          <w:tcPr>
            <w:tcW w:w="4075" w:type="dxa"/>
            <w:shd w:val="clear" w:color="auto" w:fill="auto"/>
            <w:tcMar>
              <w:top w:w="10" w:type="dxa"/>
              <w:left w:w="10" w:type="dxa"/>
              <w:right w:w="10" w:type="dxa"/>
            </w:tcMar>
            <w:vAlign w:val="center"/>
          </w:tcPr>
          <w:p w14:paraId="6014441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00B509C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6B6ED1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65BE83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0D879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8B355EA">
            <w:pPr>
              <w:jc w:val="center"/>
              <w:rPr>
                <w:rFonts w:hint="default" w:ascii="仿宋_GB2312" w:hAnsi="宋体" w:eastAsia="仿宋_GB2312" w:cs="仿宋_GB2312"/>
                <w:i w:val="0"/>
                <w:iCs w:val="0"/>
                <w:strike w:val="0"/>
                <w:dstrike w:val="0"/>
                <w:color w:val="auto"/>
                <w:sz w:val="21"/>
                <w:szCs w:val="21"/>
                <w:u w:val="none"/>
              </w:rPr>
            </w:pPr>
          </w:p>
        </w:tc>
      </w:tr>
      <w:tr w14:paraId="148D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2ABCB2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101 </w:t>
            </w:r>
          </w:p>
        </w:tc>
        <w:tc>
          <w:tcPr>
            <w:tcW w:w="775" w:type="dxa"/>
            <w:shd w:val="clear" w:color="auto" w:fill="auto"/>
            <w:tcMar>
              <w:top w:w="10" w:type="dxa"/>
              <w:left w:w="10" w:type="dxa"/>
              <w:right w:w="10" w:type="dxa"/>
            </w:tcMar>
            <w:vAlign w:val="center"/>
          </w:tcPr>
          <w:p w14:paraId="545EAF9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5EE23D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对水利领域出租单位出租未经安全性能检测或者经检测不合格的机械设备和施工机具及配件行为的行政处罚</w:t>
            </w:r>
          </w:p>
        </w:tc>
        <w:tc>
          <w:tcPr>
            <w:tcW w:w="548" w:type="dxa"/>
            <w:shd w:val="clear" w:color="auto" w:fill="auto"/>
            <w:tcMar>
              <w:top w:w="10" w:type="dxa"/>
              <w:left w:w="10" w:type="dxa"/>
              <w:right w:w="10" w:type="dxa"/>
            </w:tcMar>
            <w:vAlign w:val="center"/>
          </w:tcPr>
          <w:p w14:paraId="20B50B7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1BB5EF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57A15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02BD515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违反本条例的规定，出租单位出租未经安全性能检测或者经检测不合格的机械设备和施工机具及配件的，责令停业整顿，并处5万元以上10万元以下的罚款；造成损失的，依法承担赔偿责任。</w:t>
            </w:r>
          </w:p>
        </w:tc>
        <w:tc>
          <w:tcPr>
            <w:tcW w:w="4075" w:type="dxa"/>
            <w:shd w:val="clear" w:color="auto" w:fill="auto"/>
            <w:tcMar>
              <w:top w:w="10" w:type="dxa"/>
              <w:left w:w="10" w:type="dxa"/>
              <w:right w:w="10" w:type="dxa"/>
            </w:tcMar>
            <w:vAlign w:val="center"/>
          </w:tcPr>
          <w:p w14:paraId="0D7FB31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CB2171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444A3D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3B0014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99232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BC18470">
            <w:pPr>
              <w:jc w:val="center"/>
              <w:rPr>
                <w:rFonts w:hint="default" w:ascii="仿宋_GB2312" w:hAnsi="宋体" w:eastAsia="仿宋_GB2312" w:cs="仿宋_GB2312"/>
                <w:i w:val="0"/>
                <w:iCs w:val="0"/>
                <w:strike w:val="0"/>
                <w:dstrike w:val="0"/>
                <w:color w:val="auto"/>
                <w:sz w:val="21"/>
                <w:szCs w:val="21"/>
                <w:u w:val="none"/>
              </w:rPr>
            </w:pPr>
          </w:p>
        </w:tc>
      </w:tr>
      <w:tr w14:paraId="3840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8E0D4A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102 </w:t>
            </w:r>
          </w:p>
        </w:tc>
        <w:tc>
          <w:tcPr>
            <w:tcW w:w="775" w:type="dxa"/>
            <w:shd w:val="clear" w:color="auto" w:fill="auto"/>
            <w:tcMar>
              <w:top w:w="10" w:type="dxa"/>
              <w:left w:w="10" w:type="dxa"/>
              <w:right w:w="10" w:type="dxa"/>
            </w:tcMar>
            <w:vAlign w:val="center"/>
          </w:tcPr>
          <w:p w14:paraId="113AD3C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DD8325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对水利领域施工单位施工前未对有关安全施工的技术要求作出详细说明等行为的行政处罚</w:t>
            </w:r>
          </w:p>
        </w:tc>
        <w:tc>
          <w:tcPr>
            <w:tcW w:w="548" w:type="dxa"/>
            <w:shd w:val="clear" w:color="auto" w:fill="auto"/>
            <w:tcMar>
              <w:top w:w="10" w:type="dxa"/>
              <w:left w:w="10" w:type="dxa"/>
              <w:right w:w="10" w:type="dxa"/>
            </w:tcMar>
            <w:vAlign w:val="center"/>
          </w:tcPr>
          <w:p w14:paraId="534BFD6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1241C1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4562AA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096D039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第六十四条 违反本条例的规定，施工单位有下列行为之一的，责令限期改正；逾期未改正的，责令停业整顿，并处5万元以上10万元以下的罚款；造成重大安全事故，构成犯罪的，对直接责任人员，依照刑法有关规定追究刑事责任：（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员工集体宿舍的；（四）施工现场临时搭建的建筑物不符合安全使用要求的；（五）未对因建设工程施工可能造成损害的毗邻建筑物、构筑物和地下管线等采取专项防护措施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施工单位有前款规定第（四）项、第（五）项行为，造成损失的，依法承担赔偿责任。</w:t>
            </w:r>
          </w:p>
        </w:tc>
        <w:tc>
          <w:tcPr>
            <w:tcW w:w="4075" w:type="dxa"/>
            <w:shd w:val="clear" w:color="auto" w:fill="auto"/>
            <w:tcMar>
              <w:top w:w="10" w:type="dxa"/>
              <w:left w:w="10" w:type="dxa"/>
              <w:right w:w="10" w:type="dxa"/>
            </w:tcMar>
            <w:vAlign w:val="center"/>
          </w:tcPr>
          <w:p w14:paraId="295C4A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2F64D4F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73E97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1250AE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ADACD8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459E88B">
            <w:pPr>
              <w:jc w:val="center"/>
              <w:rPr>
                <w:rFonts w:hint="default" w:ascii="仿宋_GB2312" w:hAnsi="宋体" w:eastAsia="仿宋_GB2312" w:cs="仿宋_GB2312"/>
                <w:i w:val="0"/>
                <w:iCs w:val="0"/>
                <w:strike w:val="0"/>
                <w:dstrike w:val="0"/>
                <w:color w:val="auto"/>
                <w:sz w:val="21"/>
                <w:szCs w:val="21"/>
                <w:u w:val="none"/>
              </w:rPr>
            </w:pPr>
          </w:p>
        </w:tc>
      </w:tr>
      <w:tr w14:paraId="1EE4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47F57E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103 </w:t>
            </w:r>
          </w:p>
        </w:tc>
        <w:tc>
          <w:tcPr>
            <w:tcW w:w="775" w:type="dxa"/>
            <w:shd w:val="clear" w:color="auto" w:fill="auto"/>
            <w:tcMar>
              <w:top w:w="10" w:type="dxa"/>
              <w:left w:w="10" w:type="dxa"/>
              <w:right w:w="10" w:type="dxa"/>
            </w:tcMar>
            <w:vAlign w:val="center"/>
          </w:tcPr>
          <w:p w14:paraId="47C25D5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08095D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对水利领域施工单位安全防护用具、机械设备、施工机具及配件在进入施工现场前未经查验或者查验不合格即投入使用等行为的行政处罚</w:t>
            </w:r>
          </w:p>
        </w:tc>
        <w:tc>
          <w:tcPr>
            <w:tcW w:w="548" w:type="dxa"/>
            <w:shd w:val="clear" w:color="auto" w:fill="auto"/>
            <w:tcMar>
              <w:top w:w="10" w:type="dxa"/>
              <w:left w:w="10" w:type="dxa"/>
              <w:right w:w="10" w:type="dxa"/>
            </w:tcMar>
            <w:vAlign w:val="center"/>
          </w:tcPr>
          <w:p w14:paraId="6F18521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67B406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034713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5E493BB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安全防护用具、机械设备、施工机具及配件在进入施工现场前未经查验或者查验不合格即投入使用的；（二）使用未经验收或者验收不合格的施工起重机械和整体提升脚手架、模板等自升式架设设施的；（三）委托不具有相应资质的单位承担施工现场安装、拆卸施工起重机械和整体提升脚手架、模板等自升式架设设施的；（四）在施工组织设计中未编制安全技术措施、施工现场临时用电方案或者专项施工方案的。</w:t>
            </w:r>
          </w:p>
        </w:tc>
        <w:tc>
          <w:tcPr>
            <w:tcW w:w="4075" w:type="dxa"/>
            <w:shd w:val="clear" w:color="auto" w:fill="auto"/>
            <w:tcMar>
              <w:top w:w="10" w:type="dxa"/>
              <w:left w:w="10" w:type="dxa"/>
              <w:right w:w="10" w:type="dxa"/>
            </w:tcMar>
            <w:vAlign w:val="center"/>
          </w:tcPr>
          <w:p w14:paraId="0438E2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71F6E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1A33A2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D71D00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80D3B0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B484DD0">
            <w:pPr>
              <w:jc w:val="center"/>
              <w:rPr>
                <w:rFonts w:hint="default" w:ascii="仿宋_GB2312" w:hAnsi="宋体" w:eastAsia="仿宋_GB2312" w:cs="仿宋_GB2312"/>
                <w:i w:val="0"/>
                <w:iCs w:val="0"/>
                <w:strike w:val="0"/>
                <w:dstrike w:val="0"/>
                <w:color w:val="auto"/>
                <w:sz w:val="21"/>
                <w:szCs w:val="21"/>
                <w:u w:val="none"/>
              </w:rPr>
            </w:pPr>
          </w:p>
        </w:tc>
      </w:tr>
      <w:tr w14:paraId="2484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D98123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104 </w:t>
            </w:r>
          </w:p>
        </w:tc>
        <w:tc>
          <w:tcPr>
            <w:tcW w:w="775" w:type="dxa"/>
            <w:shd w:val="clear" w:color="auto" w:fill="auto"/>
            <w:tcMar>
              <w:top w:w="10" w:type="dxa"/>
              <w:left w:w="10" w:type="dxa"/>
              <w:right w:w="10" w:type="dxa"/>
            </w:tcMar>
            <w:vAlign w:val="center"/>
          </w:tcPr>
          <w:p w14:paraId="338271A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54905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对水利工程施工单位主要负责人、项目负责人未履行规定的安全生产管理职责，作业人员不服从管理等行为的行政处罚</w:t>
            </w:r>
          </w:p>
        </w:tc>
        <w:tc>
          <w:tcPr>
            <w:tcW w:w="548" w:type="dxa"/>
            <w:shd w:val="clear" w:color="auto" w:fill="auto"/>
            <w:tcMar>
              <w:top w:w="10" w:type="dxa"/>
              <w:left w:w="10" w:type="dxa"/>
              <w:right w:w="10" w:type="dxa"/>
            </w:tcMar>
            <w:vAlign w:val="center"/>
          </w:tcPr>
          <w:p w14:paraId="1C5DD5E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4DC1BF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417540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13BE6C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第六十六条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作业人员不服管理、违反规章制度和操作规程冒险作业造成重大伤亡事故或者其他严重后果，构成犯罪的，依照刑法有关规定追究刑事责任。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tc>
        <w:tc>
          <w:tcPr>
            <w:tcW w:w="4075" w:type="dxa"/>
            <w:shd w:val="clear" w:color="auto" w:fill="auto"/>
            <w:tcMar>
              <w:top w:w="10" w:type="dxa"/>
              <w:left w:w="10" w:type="dxa"/>
              <w:right w:w="10" w:type="dxa"/>
            </w:tcMar>
            <w:vAlign w:val="center"/>
          </w:tcPr>
          <w:p w14:paraId="22BD89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2F0BB9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C229A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31FAED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8BB32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FA7CCF5">
            <w:pPr>
              <w:jc w:val="center"/>
              <w:rPr>
                <w:rFonts w:hint="default" w:ascii="仿宋_GB2312" w:hAnsi="宋体" w:eastAsia="仿宋_GB2312" w:cs="仿宋_GB2312"/>
                <w:i w:val="0"/>
                <w:iCs w:val="0"/>
                <w:strike w:val="0"/>
                <w:dstrike w:val="0"/>
                <w:color w:val="auto"/>
                <w:sz w:val="21"/>
                <w:szCs w:val="21"/>
                <w:u w:val="none"/>
              </w:rPr>
            </w:pPr>
          </w:p>
        </w:tc>
      </w:tr>
      <w:tr w14:paraId="3007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CACCE9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105 </w:t>
            </w:r>
          </w:p>
        </w:tc>
        <w:tc>
          <w:tcPr>
            <w:tcW w:w="775" w:type="dxa"/>
            <w:shd w:val="clear" w:color="auto" w:fill="auto"/>
            <w:tcMar>
              <w:top w:w="10" w:type="dxa"/>
              <w:left w:w="10" w:type="dxa"/>
              <w:right w:w="10" w:type="dxa"/>
            </w:tcMar>
            <w:vAlign w:val="center"/>
          </w:tcPr>
          <w:p w14:paraId="01C9A96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CA9AE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对水利领域施工单位取得资质证书后，降低安全生产条件行为的行政处罚</w:t>
            </w:r>
          </w:p>
        </w:tc>
        <w:tc>
          <w:tcPr>
            <w:tcW w:w="548" w:type="dxa"/>
            <w:shd w:val="clear" w:color="auto" w:fill="auto"/>
            <w:tcMar>
              <w:top w:w="10" w:type="dxa"/>
              <w:left w:w="10" w:type="dxa"/>
              <w:right w:w="10" w:type="dxa"/>
            </w:tcMar>
            <w:vAlign w:val="center"/>
          </w:tcPr>
          <w:p w14:paraId="6BDE0D2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B722D2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AA58D3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673AD7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第六十七条 施工单位取得资质证书后，降低安全生产条件的，责令限期改正；经整改仍未达到与其资质等级相适应的安全生产条件的，责令停业整顿，降低其资质等级直至吊销资质证书。</w:t>
            </w:r>
          </w:p>
        </w:tc>
        <w:tc>
          <w:tcPr>
            <w:tcW w:w="4075" w:type="dxa"/>
            <w:shd w:val="clear" w:color="auto" w:fill="auto"/>
            <w:tcMar>
              <w:top w:w="10" w:type="dxa"/>
              <w:left w:w="10" w:type="dxa"/>
              <w:right w:w="10" w:type="dxa"/>
            </w:tcMar>
            <w:vAlign w:val="center"/>
          </w:tcPr>
          <w:p w14:paraId="766D18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36AA0F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7EA93C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94F3A2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7C751C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C9A2915">
            <w:pPr>
              <w:jc w:val="center"/>
              <w:rPr>
                <w:rFonts w:hint="default" w:ascii="仿宋_GB2312" w:hAnsi="宋体" w:eastAsia="仿宋_GB2312" w:cs="仿宋_GB2312"/>
                <w:i w:val="0"/>
                <w:iCs w:val="0"/>
                <w:strike w:val="0"/>
                <w:dstrike w:val="0"/>
                <w:color w:val="auto"/>
                <w:sz w:val="21"/>
                <w:szCs w:val="21"/>
                <w:u w:val="none"/>
              </w:rPr>
            </w:pPr>
          </w:p>
        </w:tc>
      </w:tr>
      <w:tr w14:paraId="324A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61EA8E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106 </w:t>
            </w:r>
          </w:p>
        </w:tc>
        <w:tc>
          <w:tcPr>
            <w:tcW w:w="775" w:type="dxa"/>
            <w:shd w:val="clear" w:color="auto" w:fill="auto"/>
            <w:tcMar>
              <w:top w:w="10" w:type="dxa"/>
              <w:left w:w="10" w:type="dxa"/>
              <w:right w:w="10" w:type="dxa"/>
            </w:tcMar>
            <w:vAlign w:val="center"/>
          </w:tcPr>
          <w:p w14:paraId="43BE295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5C69CA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对水利领域承担安全评价、认证、检测、检验职责的机构出具失实报告，租借资质、挂靠、出具虚假报告等行为的行政处罚</w:t>
            </w:r>
          </w:p>
        </w:tc>
        <w:tc>
          <w:tcPr>
            <w:tcW w:w="548" w:type="dxa"/>
            <w:shd w:val="clear" w:color="auto" w:fill="auto"/>
            <w:tcMar>
              <w:top w:w="10" w:type="dxa"/>
              <w:left w:w="10" w:type="dxa"/>
              <w:right w:w="10" w:type="dxa"/>
            </w:tcMar>
            <w:vAlign w:val="center"/>
          </w:tcPr>
          <w:p w14:paraId="1CDDBD1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EA4304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D31BE3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58C18A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第九十二条 承担安全评价、认证、检测、检验职责的机构出具失实报告的，责令停业整顿，并处三万元以上十万元以下的罚款；给他人造成损害的，依法承担赔偿责任。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承担安全评价、认证、检测、检验职责的机构租借资质、挂靠、出具虚假报告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给他人造成损害的，与生产经营单位承担连带赔偿责任；构成犯罪的，依照刑法有关规定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对有前款违法行为的机构及其直接责任人员，吊销其相应资质和资格，五年内不得从事安全评价、认证、检测、检验等工作；情节严重的，实行终身行业和职业禁入。</w:t>
            </w:r>
          </w:p>
        </w:tc>
        <w:tc>
          <w:tcPr>
            <w:tcW w:w="4075" w:type="dxa"/>
            <w:shd w:val="clear" w:color="auto" w:fill="auto"/>
            <w:tcMar>
              <w:top w:w="10" w:type="dxa"/>
              <w:left w:w="10" w:type="dxa"/>
              <w:right w:w="10" w:type="dxa"/>
            </w:tcMar>
            <w:vAlign w:val="center"/>
          </w:tcPr>
          <w:p w14:paraId="16C2498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021675C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12CB5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80513B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3902A5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676D965">
            <w:pPr>
              <w:jc w:val="center"/>
              <w:rPr>
                <w:rFonts w:hint="default" w:ascii="仿宋_GB2312" w:hAnsi="宋体" w:eastAsia="仿宋_GB2312" w:cs="仿宋_GB2312"/>
                <w:i w:val="0"/>
                <w:iCs w:val="0"/>
                <w:strike w:val="0"/>
                <w:dstrike w:val="0"/>
                <w:color w:val="auto"/>
                <w:sz w:val="21"/>
                <w:szCs w:val="21"/>
                <w:u w:val="none"/>
              </w:rPr>
            </w:pPr>
          </w:p>
        </w:tc>
      </w:tr>
      <w:tr w14:paraId="4CE5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A1BF92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107 </w:t>
            </w:r>
          </w:p>
        </w:tc>
        <w:tc>
          <w:tcPr>
            <w:tcW w:w="775" w:type="dxa"/>
            <w:shd w:val="clear" w:color="auto" w:fill="auto"/>
            <w:tcMar>
              <w:top w:w="10" w:type="dxa"/>
              <w:left w:w="10" w:type="dxa"/>
              <w:right w:w="10" w:type="dxa"/>
            </w:tcMar>
            <w:vAlign w:val="center"/>
          </w:tcPr>
          <w:p w14:paraId="049ABA5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A544AE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的决策机构、主要负责人或者个人经营的投资人不依照规定保证安全生产所必需的资金投入，致使生产经营单位不具备安全生产条件，挪用列入建设工程概算的安全生产作业环境及安全施工措施所需费用等行为的行政处罚</w:t>
            </w:r>
          </w:p>
        </w:tc>
        <w:tc>
          <w:tcPr>
            <w:tcW w:w="548" w:type="dxa"/>
            <w:shd w:val="clear" w:color="auto" w:fill="auto"/>
            <w:tcMar>
              <w:top w:w="10" w:type="dxa"/>
              <w:left w:w="10" w:type="dxa"/>
              <w:right w:w="10" w:type="dxa"/>
            </w:tcMar>
            <w:vAlign w:val="center"/>
          </w:tcPr>
          <w:p w14:paraId="52718EB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92D049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797A9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4F8AD98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第九十三条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有前款违法行为，导致发生生产安全事故的，对生产经营单位的主要负责人给予撤职处分，对个人经营的投资人处二万元以上二十万元以下的罚款；构成犯罪的，依照刑法有关规定追究刑事责任。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第五十四条第一款 违反本条例的规定，建设单位未提供建设工程安全生产作业环境及安全施工措施所需费用的，责令限期改正；逾期未改正的，责令该建设工程停止施工。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违反本条例的规定，施工单位挪用列入建设工程概算的安全生产作业环境及安全施工措施所需费用的，责令限期改正，处挪用费用20%以上50%以下的罚款；造成损失的，依法承担赔偿责任。</w:t>
            </w:r>
          </w:p>
        </w:tc>
        <w:tc>
          <w:tcPr>
            <w:tcW w:w="4075" w:type="dxa"/>
            <w:shd w:val="clear" w:color="auto" w:fill="auto"/>
            <w:tcMar>
              <w:top w:w="10" w:type="dxa"/>
              <w:left w:w="10" w:type="dxa"/>
              <w:right w:w="10" w:type="dxa"/>
            </w:tcMar>
            <w:vAlign w:val="center"/>
          </w:tcPr>
          <w:p w14:paraId="6E73F7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6FDB6B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E15F9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CE7365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C49292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DB0F324">
            <w:pPr>
              <w:jc w:val="center"/>
              <w:rPr>
                <w:rFonts w:hint="default" w:ascii="仿宋_GB2312" w:hAnsi="宋体" w:eastAsia="仿宋_GB2312" w:cs="仿宋_GB2312"/>
                <w:i w:val="0"/>
                <w:iCs w:val="0"/>
                <w:strike w:val="0"/>
                <w:dstrike w:val="0"/>
                <w:color w:val="auto"/>
                <w:sz w:val="21"/>
                <w:szCs w:val="21"/>
                <w:u w:val="none"/>
              </w:rPr>
            </w:pPr>
          </w:p>
        </w:tc>
      </w:tr>
      <w:tr w14:paraId="52A5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43CDB3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108 </w:t>
            </w:r>
          </w:p>
        </w:tc>
        <w:tc>
          <w:tcPr>
            <w:tcW w:w="775" w:type="dxa"/>
            <w:shd w:val="clear" w:color="auto" w:fill="auto"/>
            <w:tcMar>
              <w:top w:w="10" w:type="dxa"/>
              <w:left w:w="10" w:type="dxa"/>
              <w:right w:w="10" w:type="dxa"/>
            </w:tcMar>
            <w:vAlign w:val="center"/>
          </w:tcPr>
          <w:p w14:paraId="0806CAF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2DAF0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对水利领域生产经营单位主要负责人未履行规定的安全生产管理职责行为的行政处罚</w:t>
            </w:r>
          </w:p>
        </w:tc>
        <w:tc>
          <w:tcPr>
            <w:tcW w:w="548" w:type="dxa"/>
            <w:shd w:val="clear" w:color="auto" w:fill="auto"/>
            <w:tcMar>
              <w:top w:w="10" w:type="dxa"/>
              <w:left w:w="10" w:type="dxa"/>
              <w:right w:w="10" w:type="dxa"/>
            </w:tcMar>
            <w:vAlign w:val="center"/>
          </w:tcPr>
          <w:p w14:paraId="21B2D6C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18007A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2B9AB3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074B01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第九十四条 生产经营单位的主要负责人未履行本法规定的安全生产管理职责的，责令限期改正，处二万元以上五万元以下的罚款；逾期未改正的，处五万元以上十万元以下的罚款，责令生产经营单位停产停业整顿。</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生产经营单位的主要负责人有前款违法行为，导致发生生产安全事故的，给予撤职处分；构成犯罪的，依照刑法有关规定追究刑事责任。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tc>
        <w:tc>
          <w:tcPr>
            <w:tcW w:w="4075" w:type="dxa"/>
            <w:shd w:val="clear" w:color="auto" w:fill="auto"/>
            <w:tcMar>
              <w:top w:w="10" w:type="dxa"/>
              <w:left w:w="10" w:type="dxa"/>
              <w:right w:w="10" w:type="dxa"/>
            </w:tcMar>
            <w:vAlign w:val="center"/>
          </w:tcPr>
          <w:p w14:paraId="676D0F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9AC30C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54ACF7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FA452C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2E6D6A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2A23435">
            <w:pPr>
              <w:jc w:val="center"/>
              <w:rPr>
                <w:rFonts w:hint="default" w:ascii="仿宋_GB2312" w:hAnsi="宋体" w:eastAsia="仿宋_GB2312" w:cs="仿宋_GB2312"/>
                <w:i w:val="0"/>
                <w:iCs w:val="0"/>
                <w:strike w:val="0"/>
                <w:dstrike w:val="0"/>
                <w:color w:val="auto"/>
                <w:sz w:val="21"/>
                <w:szCs w:val="21"/>
                <w:u w:val="none"/>
              </w:rPr>
            </w:pPr>
          </w:p>
        </w:tc>
      </w:tr>
      <w:tr w14:paraId="5A8F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3479FC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109 </w:t>
            </w:r>
          </w:p>
        </w:tc>
        <w:tc>
          <w:tcPr>
            <w:tcW w:w="775" w:type="dxa"/>
            <w:shd w:val="clear" w:color="auto" w:fill="auto"/>
            <w:tcMar>
              <w:top w:w="10" w:type="dxa"/>
              <w:left w:w="10" w:type="dxa"/>
              <w:right w:w="10" w:type="dxa"/>
            </w:tcMar>
            <w:vAlign w:val="center"/>
          </w:tcPr>
          <w:p w14:paraId="6AFAD5E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D7B1AD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对水利领域生产经营单位的其他负责人和安全生产管理人员未履行规定的安全生产管理职责等行为的行政处罚</w:t>
            </w:r>
          </w:p>
        </w:tc>
        <w:tc>
          <w:tcPr>
            <w:tcW w:w="548" w:type="dxa"/>
            <w:shd w:val="clear" w:color="auto" w:fill="auto"/>
            <w:tcMar>
              <w:top w:w="10" w:type="dxa"/>
              <w:left w:w="10" w:type="dxa"/>
              <w:right w:w="10" w:type="dxa"/>
            </w:tcMar>
            <w:vAlign w:val="center"/>
          </w:tcPr>
          <w:p w14:paraId="7956C62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0BB9A1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09C1E8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2F910B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tc>
        <w:tc>
          <w:tcPr>
            <w:tcW w:w="4075" w:type="dxa"/>
            <w:shd w:val="clear" w:color="auto" w:fill="auto"/>
            <w:tcMar>
              <w:top w:w="10" w:type="dxa"/>
              <w:left w:w="10" w:type="dxa"/>
              <w:right w:w="10" w:type="dxa"/>
            </w:tcMar>
            <w:vAlign w:val="center"/>
          </w:tcPr>
          <w:p w14:paraId="31C87DB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2D84C2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31969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64A053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CFB57C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407A8F4">
            <w:pPr>
              <w:jc w:val="center"/>
              <w:rPr>
                <w:rFonts w:hint="default" w:ascii="仿宋_GB2312" w:hAnsi="宋体" w:eastAsia="仿宋_GB2312" w:cs="仿宋_GB2312"/>
                <w:i w:val="0"/>
                <w:iCs w:val="0"/>
                <w:strike w:val="0"/>
                <w:dstrike w:val="0"/>
                <w:color w:val="auto"/>
                <w:sz w:val="21"/>
                <w:szCs w:val="21"/>
                <w:u w:val="none"/>
              </w:rPr>
            </w:pPr>
          </w:p>
        </w:tc>
      </w:tr>
      <w:tr w14:paraId="1F63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D23DE6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110 </w:t>
            </w:r>
          </w:p>
        </w:tc>
        <w:tc>
          <w:tcPr>
            <w:tcW w:w="775" w:type="dxa"/>
            <w:shd w:val="clear" w:color="auto" w:fill="auto"/>
            <w:tcMar>
              <w:top w:w="10" w:type="dxa"/>
              <w:left w:w="10" w:type="dxa"/>
              <w:right w:w="10" w:type="dxa"/>
            </w:tcMar>
            <w:vAlign w:val="center"/>
          </w:tcPr>
          <w:p w14:paraId="5723F8A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5430AF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对水利领域生产经营单位未按照规定设置安全生产管理机构或者配备安全生产管理人员、注册安全工程师，主要负责人和安全生产管理人员未按照规定经考核合格等行为的行政处罚</w:t>
            </w:r>
          </w:p>
        </w:tc>
        <w:tc>
          <w:tcPr>
            <w:tcW w:w="548" w:type="dxa"/>
            <w:shd w:val="clear" w:color="auto" w:fill="auto"/>
            <w:tcMar>
              <w:top w:w="10" w:type="dxa"/>
              <w:left w:w="10" w:type="dxa"/>
              <w:right w:w="10" w:type="dxa"/>
            </w:tcMar>
            <w:vAlign w:val="center"/>
          </w:tcPr>
          <w:p w14:paraId="6851E58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D8C14C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FAF629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774604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第九十七条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一）未按照规定设置安全生产管理机构或者配备安全生产管理人员、注册安全工程师的；（二）危险物品的生产、经营、储存、装卸单位以及矿山、金属冶炼、建筑施工、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一）未设立安全生产管理机构、配备专职安全生产管理人员或者分部分项工程施工时无专职安全生产管理人员现场监督的；（二）施工单位的主要负责人、项目负责人、专职安全生产管理人员、作业人员或者特种作业人员，未经安全教育培训或者经考核不合格即从事相关工作的；（三）未在施工现场的危险部位设置明显的安全警示标志，或者未按照国家有关规定在施工现场设置消防通道、消防水源、配备消防设施和灭火器材的；（四）未向作业人员提供安全防护用具和安全防护服装的；（五）未按照规定在施工起重机械和整体提升脚手架、模板等自升式架设设施验收合格后登记的；（六）使用国家明令淘汰、禁止使用的危及施工安全的工艺、设备、材料的。</w:t>
            </w:r>
          </w:p>
        </w:tc>
        <w:tc>
          <w:tcPr>
            <w:tcW w:w="4075" w:type="dxa"/>
            <w:shd w:val="clear" w:color="auto" w:fill="auto"/>
            <w:tcMar>
              <w:top w:w="10" w:type="dxa"/>
              <w:left w:w="10" w:type="dxa"/>
              <w:right w:w="10" w:type="dxa"/>
            </w:tcMar>
            <w:vAlign w:val="center"/>
          </w:tcPr>
          <w:p w14:paraId="78D9B5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21F0EA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BAF52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829851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A2C54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F838A76">
            <w:pPr>
              <w:jc w:val="center"/>
              <w:rPr>
                <w:rFonts w:hint="default" w:ascii="仿宋_GB2312" w:hAnsi="宋体" w:eastAsia="仿宋_GB2312" w:cs="仿宋_GB2312"/>
                <w:i w:val="0"/>
                <w:iCs w:val="0"/>
                <w:strike w:val="0"/>
                <w:dstrike w:val="0"/>
                <w:color w:val="auto"/>
                <w:sz w:val="21"/>
                <w:szCs w:val="21"/>
                <w:u w:val="none"/>
              </w:rPr>
            </w:pPr>
          </w:p>
        </w:tc>
      </w:tr>
      <w:tr w14:paraId="2092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EF0C6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111 </w:t>
            </w:r>
          </w:p>
        </w:tc>
        <w:tc>
          <w:tcPr>
            <w:tcW w:w="775" w:type="dxa"/>
            <w:shd w:val="clear" w:color="auto" w:fill="auto"/>
            <w:tcMar>
              <w:top w:w="10" w:type="dxa"/>
              <w:left w:w="10" w:type="dxa"/>
              <w:right w:w="10" w:type="dxa"/>
            </w:tcMar>
            <w:vAlign w:val="center"/>
          </w:tcPr>
          <w:p w14:paraId="6C0D6EB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D3C3C6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对水利领域生产经营单位未在有较大危险因素的生产经营场所和有关设施、设备上设置明显的安全警示标志，安全设备的安装、使用、检测、改造和报废不符合国家标准或者行业标准等行为的行政处罚</w:t>
            </w:r>
          </w:p>
        </w:tc>
        <w:tc>
          <w:tcPr>
            <w:tcW w:w="548" w:type="dxa"/>
            <w:shd w:val="clear" w:color="auto" w:fill="auto"/>
            <w:tcMar>
              <w:top w:w="10" w:type="dxa"/>
              <w:left w:w="10" w:type="dxa"/>
              <w:right w:w="10" w:type="dxa"/>
            </w:tcMar>
            <w:vAlign w:val="center"/>
          </w:tcPr>
          <w:p w14:paraId="1F62421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DCB700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724720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648E4B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第九十九条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的；（二）安全设备的安装、使用、检测、改造和报废不符合国家标准或者行业标准的；（三）未对安全设备进行经常性维护、保养和定期检测的；（四）关闭、破坏直接关系生产安全的监控、报警、防护、救生设备、设施，或者篡改、隐瞒、销毁其相关数据、信息的；（五）未为从业人员提供符合国家标准或者行业标准的劳动防护用品的；（六）危险物品的容器、运输工具，以及涉及人身安全、危险性较大的海洋石油开采特种设备和矿山井下特种设备未经具有专业资质的机构检测、检验合格，取得安全使用证或者安全标志，投入使用的；（七）使用应当淘汰的危及生产安全的工艺、设备的；（八）餐饮等行业的生产经营单位使用燃气未安装可燃气体报警装置的。</w:t>
            </w:r>
          </w:p>
        </w:tc>
        <w:tc>
          <w:tcPr>
            <w:tcW w:w="4075" w:type="dxa"/>
            <w:shd w:val="clear" w:color="auto" w:fill="auto"/>
            <w:tcMar>
              <w:top w:w="10" w:type="dxa"/>
              <w:left w:w="10" w:type="dxa"/>
              <w:right w:w="10" w:type="dxa"/>
            </w:tcMar>
            <w:vAlign w:val="center"/>
          </w:tcPr>
          <w:p w14:paraId="096C62E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769A37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580673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BC7062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6E4EE7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9FCA636">
            <w:pPr>
              <w:jc w:val="center"/>
              <w:rPr>
                <w:rFonts w:hint="default" w:ascii="仿宋_GB2312" w:hAnsi="宋体" w:eastAsia="仿宋_GB2312" w:cs="仿宋_GB2312"/>
                <w:i w:val="0"/>
                <w:iCs w:val="0"/>
                <w:strike w:val="0"/>
                <w:dstrike w:val="0"/>
                <w:color w:val="auto"/>
                <w:sz w:val="21"/>
                <w:szCs w:val="21"/>
                <w:u w:val="none"/>
              </w:rPr>
            </w:pPr>
          </w:p>
        </w:tc>
      </w:tr>
      <w:tr w14:paraId="0829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428214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112 </w:t>
            </w:r>
          </w:p>
        </w:tc>
        <w:tc>
          <w:tcPr>
            <w:tcW w:w="775" w:type="dxa"/>
            <w:shd w:val="clear" w:color="auto" w:fill="auto"/>
            <w:tcMar>
              <w:top w:w="10" w:type="dxa"/>
              <w:left w:w="10" w:type="dxa"/>
              <w:right w:w="10" w:type="dxa"/>
            </w:tcMar>
            <w:vAlign w:val="center"/>
          </w:tcPr>
          <w:p w14:paraId="4EC4E9D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B5547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对水利领域生产经营单位未建立专门安全管理制度、未采取可靠的安全措施，未制定应急预案等行为的行政处罚</w:t>
            </w:r>
          </w:p>
        </w:tc>
        <w:tc>
          <w:tcPr>
            <w:tcW w:w="548" w:type="dxa"/>
            <w:shd w:val="clear" w:color="auto" w:fill="auto"/>
            <w:tcMar>
              <w:top w:w="10" w:type="dxa"/>
              <w:left w:w="10" w:type="dxa"/>
              <w:right w:w="10" w:type="dxa"/>
            </w:tcMar>
            <w:vAlign w:val="center"/>
          </w:tcPr>
          <w:p w14:paraId="087FE219">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9AF59F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7580FC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096BFF8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第一百零一条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一）生产、经营、运输、储存、使用危险物品或者处置废弃危险物品，未建立专门安全管理制度、未采取可靠的安全措施的；（二）对重大危险源未登记建档，未进行定期检测、评估、监控，未制定应急预案，或者未告知应急措施的；（三）进行爆破、吊装、动火、临时用电以及国务院应急管理部门会同国务院有关部门规定的其他危险作业，未安排专门人员进行现场安全管理的；（四）未建立安全风险分级管控制度或者未按照安全风险分级采取相应管控措施的；（五）未建立事故隐患排查治理制度，或者重大事故隐患排查治理情况未按照规定报告的。</w:t>
            </w:r>
          </w:p>
        </w:tc>
        <w:tc>
          <w:tcPr>
            <w:tcW w:w="4075" w:type="dxa"/>
            <w:shd w:val="clear" w:color="auto" w:fill="auto"/>
            <w:tcMar>
              <w:top w:w="10" w:type="dxa"/>
              <w:left w:w="10" w:type="dxa"/>
              <w:right w:w="10" w:type="dxa"/>
            </w:tcMar>
            <w:vAlign w:val="center"/>
          </w:tcPr>
          <w:p w14:paraId="733D00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4CCED73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9E0C1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580389C">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0E842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A018E11">
            <w:pPr>
              <w:jc w:val="center"/>
              <w:rPr>
                <w:rFonts w:hint="default" w:ascii="仿宋_GB2312" w:hAnsi="宋体" w:eastAsia="仿宋_GB2312" w:cs="仿宋_GB2312"/>
                <w:i w:val="0"/>
                <w:iCs w:val="0"/>
                <w:strike w:val="0"/>
                <w:dstrike w:val="0"/>
                <w:color w:val="auto"/>
                <w:sz w:val="21"/>
                <w:szCs w:val="21"/>
                <w:u w:val="none"/>
              </w:rPr>
            </w:pPr>
          </w:p>
        </w:tc>
      </w:tr>
      <w:tr w14:paraId="1C2F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02FB3A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113 </w:t>
            </w:r>
          </w:p>
        </w:tc>
        <w:tc>
          <w:tcPr>
            <w:tcW w:w="775" w:type="dxa"/>
            <w:shd w:val="clear" w:color="auto" w:fill="auto"/>
            <w:tcMar>
              <w:top w:w="10" w:type="dxa"/>
              <w:left w:w="10" w:type="dxa"/>
              <w:right w:w="10" w:type="dxa"/>
            </w:tcMar>
            <w:vAlign w:val="center"/>
          </w:tcPr>
          <w:p w14:paraId="70786A0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BA7B8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对水利领域生产经营单位未采取措施消除事故隐患行为的行政处罚</w:t>
            </w:r>
          </w:p>
        </w:tc>
        <w:tc>
          <w:tcPr>
            <w:tcW w:w="548" w:type="dxa"/>
            <w:shd w:val="clear" w:color="auto" w:fill="auto"/>
            <w:tcMar>
              <w:top w:w="10" w:type="dxa"/>
              <w:left w:w="10" w:type="dxa"/>
              <w:right w:w="10" w:type="dxa"/>
            </w:tcMar>
            <w:vAlign w:val="center"/>
          </w:tcPr>
          <w:p w14:paraId="413F6EA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D77FDA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373CD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1CC1669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第一百零二条 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4075" w:type="dxa"/>
            <w:shd w:val="clear" w:color="auto" w:fill="auto"/>
            <w:tcMar>
              <w:top w:w="10" w:type="dxa"/>
              <w:left w:w="10" w:type="dxa"/>
              <w:right w:w="10" w:type="dxa"/>
            </w:tcMar>
            <w:vAlign w:val="center"/>
          </w:tcPr>
          <w:p w14:paraId="4E03CA7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91049D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562BFC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EB3223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D0475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DFA1EAA">
            <w:pPr>
              <w:jc w:val="center"/>
              <w:rPr>
                <w:rFonts w:hint="default" w:ascii="仿宋_GB2312" w:hAnsi="宋体" w:eastAsia="仿宋_GB2312" w:cs="仿宋_GB2312"/>
                <w:i w:val="0"/>
                <w:iCs w:val="0"/>
                <w:strike w:val="0"/>
                <w:dstrike w:val="0"/>
                <w:color w:val="auto"/>
                <w:sz w:val="21"/>
                <w:szCs w:val="21"/>
                <w:u w:val="none"/>
              </w:rPr>
            </w:pPr>
          </w:p>
        </w:tc>
      </w:tr>
      <w:tr w14:paraId="2CA2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6F45FE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114 </w:t>
            </w:r>
          </w:p>
        </w:tc>
        <w:tc>
          <w:tcPr>
            <w:tcW w:w="775" w:type="dxa"/>
            <w:shd w:val="clear" w:color="auto" w:fill="auto"/>
            <w:tcMar>
              <w:top w:w="10" w:type="dxa"/>
              <w:left w:w="10" w:type="dxa"/>
              <w:right w:w="10" w:type="dxa"/>
            </w:tcMar>
            <w:vAlign w:val="center"/>
          </w:tcPr>
          <w:p w14:paraId="3DCAE2F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EA26F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对水利领域生产经营单位将生产经营项目、场所、设备发包或者出租给不具备安全生产条件或者相应资质的单位或者个人，未与承包单位、承租单位明确各自的安全生产管理职责等行为的行政处罚</w:t>
            </w:r>
          </w:p>
        </w:tc>
        <w:tc>
          <w:tcPr>
            <w:tcW w:w="548" w:type="dxa"/>
            <w:shd w:val="clear" w:color="auto" w:fill="auto"/>
            <w:tcMar>
              <w:top w:w="10" w:type="dxa"/>
              <w:left w:w="10" w:type="dxa"/>
              <w:right w:w="10" w:type="dxa"/>
            </w:tcMar>
            <w:vAlign w:val="center"/>
          </w:tcPr>
          <w:p w14:paraId="3EE81E8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BD7FBB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87192F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3E061B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第一百零三条第一款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tc>
        <w:tc>
          <w:tcPr>
            <w:tcW w:w="4075" w:type="dxa"/>
            <w:shd w:val="clear" w:color="auto" w:fill="auto"/>
            <w:tcMar>
              <w:top w:w="10" w:type="dxa"/>
              <w:left w:w="10" w:type="dxa"/>
              <w:right w:w="10" w:type="dxa"/>
            </w:tcMar>
            <w:vAlign w:val="center"/>
          </w:tcPr>
          <w:p w14:paraId="46662F5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90B72C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009E7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731EB85">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C30B2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1E93D7E">
            <w:pPr>
              <w:jc w:val="center"/>
              <w:rPr>
                <w:rFonts w:hint="default" w:ascii="仿宋_GB2312" w:hAnsi="宋体" w:eastAsia="仿宋_GB2312" w:cs="仿宋_GB2312"/>
                <w:i w:val="0"/>
                <w:iCs w:val="0"/>
                <w:strike w:val="0"/>
                <w:dstrike w:val="0"/>
                <w:color w:val="auto"/>
                <w:sz w:val="21"/>
                <w:szCs w:val="21"/>
                <w:u w:val="none"/>
              </w:rPr>
            </w:pPr>
          </w:p>
        </w:tc>
      </w:tr>
      <w:tr w14:paraId="5F6C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06D910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115 </w:t>
            </w:r>
          </w:p>
        </w:tc>
        <w:tc>
          <w:tcPr>
            <w:tcW w:w="775" w:type="dxa"/>
            <w:shd w:val="clear" w:color="auto" w:fill="auto"/>
            <w:tcMar>
              <w:top w:w="10" w:type="dxa"/>
              <w:left w:w="10" w:type="dxa"/>
              <w:right w:w="10" w:type="dxa"/>
            </w:tcMar>
            <w:vAlign w:val="center"/>
          </w:tcPr>
          <w:p w14:paraId="629EA4B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9BD5AF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对水利领域两个以上生产经营单位在同一作业区域内进行可能危及对方安全生产的生产经营活动，未签订安全生产管理协议或者未指定专职安全生产管理人员进行安全检查与协调行为的行政处罚</w:t>
            </w:r>
          </w:p>
        </w:tc>
        <w:tc>
          <w:tcPr>
            <w:tcW w:w="548" w:type="dxa"/>
            <w:shd w:val="clear" w:color="auto" w:fill="auto"/>
            <w:tcMar>
              <w:top w:w="10" w:type="dxa"/>
              <w:left w:w="10" w:type="dxa"/>
              <w:right w:w="10" w:type="dxa"/>
            </w:tcMar>
            <w:vAlign w:val="center"/>
          </w:tcPr>
          <w:p w14:paraId="13EC85F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6C9B2F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4197A2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4553EA2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第一百零四条 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处一万元以下的罚款；逾期未改正的，责令停产停业。</w:t>
            </w:r>
          </w:p>
        </w:tc>
        <w:tc>
          <w:tcPr>
            <w:tcW w:w="4075" w:type="dxa"/>
            <w:shd w:val="clear" w:color="auto" w:fill="auto"/>
            <w:tcMar>
              <w:top w:w="10" w:type="dxa"/>
              <w:left w:w="10" w:type="dxa"/>
              <w:right w:w="10" w:type="dxa"/>
            </w:tcMar>
            <w:vAlign w:val="center"/>
          </w:tcPr>
          <w:p w14:paraId="53DA8E4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3D265D1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4994D0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3E357A2">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201562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28AA830">
            <w:pPr>
              <w:jc w:val="center"/>
              <w:rPr>
                <w:rFonts w:hint="default" w:ascii="仿宋_GB2312" w:hAnsi="宋体" w:eastAsia="仿宋_GB2312" w:cs="仿宋_GB2312"/>
                <w:i w:val="0"/>
                <w:iCs w:val="0"/>
                <w:strike w:val="0"/>
                <w:dstrike w:val="0"/>
                <w:color w:val="auto"/>
                <w:sz w:val="21"/>
                <w:szCs w:val="21"/>
                <w:u w:val="none"/>
              </w:rPr>
            </w:pPr>
          </w:p>
        </w:tc>
      </w:tr>
      <w:tr w14:paraId="23C9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CBBC22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116 </w:t>
            </w:r>
          </w:p>
        </w:tc>
        <w:tc>
          <w:tcPr>
            <w:tcW w:w="775" w:type="dxa"/>
            <w:shd w:val="clear" w:color="auto" w:fill="auto"/>
            <w:tcMar>
              <w:top w:w="10" w:type="dxa"/>
              <w:left w:w="10" w:type="dxa"/>
              <w:right w:w="10" w:type="dxa"/>
            </w:tcMar>
            <w:vAlign w:val="center"/>
          </w:tcPr>
          <w:p w14:paraId="4E5DB60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54884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对水利领域生产经营单位生产、经营、储存、使用危险物品的车间、商店、仓库与员工宿舍的距离不符合安全要求，未设有符合紧急疏散需要、标志明显、保持畅通的出口、疏散通道等行为的行政处罚</w:t>
            </w:r>
          </w:p>
        </w:tc>
        <w:tc>
          <w:tcPr>
            <w:tcW w:w="548" w:type="dxa"/>
            <w:shd w:val="clear" w:color="auto" w:fill="auto"/>
            <w:tcMar>
              <w:top w:w="10" w:type="dxa"/>
              <w:left w:w="10" w:type="dxa"/>
              <w:right w:w="10" w:type="dxa"/>
            </w:tcMar>
            <w:vAlign w:val="center"/>
          </w:tcPr>
          <w:p w14:paraId="6960DDC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BB6279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B1E646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7F979C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第一百零五条 生产经营单位有下列行为之一的，责令限期改正，处五万元以下的罚款，对其直接负责的主管人员和其他直接责任人员处一万元以下的罚款；逾期未改正的，责令停产停业整顿；构成犯罪的，依照刑法有关规定追究刑事责任：（一）生产、经营、储存、使用危险物品的车间、商店、仓库与员工宿舍在同一座建筑内，或者与员工宿舍的距离不符合安全要求的；（二）生产经营场所和员工宿舍未设有符合紧急疏散需要、标志明显、保持畅通的出口、疏散通道，或者占用、锁闭、封堵生产经营场所或者员工宿舍出口、疏散通道的。</w:t>
            </w:r>
          </w:p>
        </w:tc>
        <w:tc>
          <w:tcPr>
            <w:tcW w:w="4075" w:type="dxa"/>
            <w:shd w:val="clear" w:color="auto" w:fill="auto"/>
            <w:tcMar>
              <w:top w:w="10" w:type="dxa"/>
              <w:left w:w="10" w:type="dxa"/>
              <w:right w:w="10" w:type="dxa"/>
            </w:tcMar>
            <w:vAlign w:val="center"/>
          </w:tcPr>
          <w:p w14:paraId="0DA7CE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0CC6F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4950C4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0F1747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3E6F0B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882A57B">
            <w:pPr>
              <w:jc w:val="center"/>
              <w:rPr>
                <w:rFonts w:hint="default" w:ascii="仿宋_GB2312" w:hAnsi="宋体" w:eastAsia="仿宋_GB2312" w:cs="仿宋_GB2312"/>
                <w:i w:val="0"/>
                <w:iCs w:val="0"/>
                <w:strike w:val="0"/>
                <w:dstrike w:val="0"/>
                <w:color w:val="auto"/>
                <w:sz w:val="21"/>
                <w:szCs w:val="21"/>
                <w:u w:val="none"/>
              </w:rPr>
            </w:pPr>
          </w:p>
        </w:tc>
      </w:tr>
      <w:tr w14:paraId="7F8D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771FAC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117 </w:t>
            </w:r>
          </w:p>
        </w:tc>
        <w:tc>
          <w:tcPr>
            <w:tcW w:w="775" w:type="dxa"/>
            <w:shd w:val="clear" w:color="auto" w:fill="auto"/>
            <w:tcMar>
              <w:top w:w="10" w:type="dxa"/>
              <w:left w:w="10" w:type="dxa"/>
              <w:right w:w="10" w:type="dxa"/>
            </w:tcMar>
            <w:vAlign w:val="center"/>
          </w:tcPr>
          <w:p w14:paraId="5FAEC25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4955CD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对水利领域生产经营单位与从业人员订立协议，免除或者减轻其对从业人员因生产安全事故伤亡依法应承担的责任行为的行政处罚</w:t>
            </w:r>
          </w:p>
        </w:tc>
        <w:tc>
          <w:tcPr>
            <w:tcW w:w="548" w:type="dxa"/>
            <w:shd w:val="clear" w:color="auto" w:fill="auto"/>
            <w:tcMar>
              <w:top w:w="10" w:type="dxa"/>
              <w:left w:w="10" w:type="dxa"/>
              <w:right w:w="10" w:type="dxa"/>
            </w:tcMar>
            <w:vAlign w:val="center"/>
          </w:tcPr>
          <w:p w14:paraId="382E7A7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2D8435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E72E5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54BB02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第一百零六条 生产经营单位与从业人员订立协议，免除或者减轻其对从业人员因生产安全事故伤亡依法应承担的责任的，该协议无效；对生产经营单位的主要负责人、个人经营的投资人处二万元以上十万元以下的罚款。</w:t>
            </w:r>
          </w:p>
        </w:tc>
        <w:tc>
          <w:tcPr>
            <w:tcW w:w="4075" w:type="dxa"/>
            <w:shd w:val="clear" w:color="auto" w:fill="auto"/>
            <w:tcMar>
              <w:top w:w="10" w:type="dxa"/>
              <w:left w:w="10" w:type="dxa"/>
              <w:right w:w="10" w:type="dxa"/>
            </w:tcMar>
            <w:vAlign w:val="center"/>
          </w:tcPr>
          <w:p w14:paraId="22CF951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68E66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1B0D16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47E6B3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F3352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B133118">
            <w:pPr>
              <w:jc w:val="center"/>
              <w:rPr>
                <w:rFonts w:hint="default" w:ascii="仿宋_GB2312" w:hAnsi="宋体" w:eastAsia="仿宋_GB2312" w:cs="仿宋_GB2312"/>
                <w:i w:val="0"/>
                <w:iCs w:val="0"/>
                <w:strike w:val="0"/>
                <w:dstrike w:val="0"/>
                <w:color w:val="auto"/>
                <w:sz w:val="21"/>
                <w:szCs w:val="21"/>
                <w:u w:val="none"/>
              </w:rPr>
            </w:pPr>
          </w:p>
        </w:tc>
      </w:tr>
      <w:tr w14:paraId="648B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107363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118 </w:t>
            </w:r>
          </w:p>
        </w:tc>
        <w:tc>
          <w:tcPr>
            <w:tcW w:w="775" w:type="dxa"/>
            <w:shd w:val="clear" w:color="auto" w:fill="auto"/>
            <w:tcMar>
              <w:top w:w="10" w:type="dxa"/>
              <w:left w:w="10" w:type="dxa"/>
              <w:right w:w="10" w:type="dxa"/>
            </w:tcMar>
            <w:vAlign w:val="center"/>
          </w:tcPr>
          <w:p w14:paraId="3054918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622E13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对水利领域生产经营单位拒绝、阻碍负有安全生产监督管理职责的部门依法实施监督检查行为的行政处罚</w:t>
            </w:r>
          </w:p>
        </w:tc>
        <w:tc>
          <w:tcPr>
            <w:tcW w:w="548" w:type="dxa"/>
            <w:shd w:val="clear" w:color="auto" w:fill="auto"/>
            <w:tcMar>
              <w:top w:w="10" w:type="dxa"/>
              <w:left w:w="10" w:type="dxa"/>
              <w:right w:w="10" w:type="dxa"/>
            </w:tcMar>
            <w:vAlign w:val="center"/>
          </w:tcPr>
          <w:p w14:paraId="55550D0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879AEC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7546C9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12D37A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第一百零八条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4075" w:type="dxa"/>
            <w:shd w:val="clear" w:color="auto" w:fill="auto"/>
            <w:tcMar>
              <w:top w:w="10" w:type="dxa"/>
              <w:left w:w="10" w:type="dxa"/>
              <w:right w:w="10" w:type="dxa"/>
            </w:tcMar>
            <w:vAlign w:val="center"/>
          </w:tcPr>
          <w:p w14:paraId="36C74E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E4AD5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A78019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919DFD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7C5927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22CEEF4">
            <w:pPr>
              <w:jc w:val="center"/>
              <w:rPr>
                <w:rFonts w:hint="default" w:ascii="仿宋_GB2312" w:hAnsi="宋体" w:eastAsia="仿宋_GB2312" w:cs="仿宋_GB2312"/>
                <w:i w:val="0"/>
                <w:iCs w:val="0"/>
                <w:strike w:val="0"/>
                <w:dstrike w:val="0"/>
                <w:color w:val="auto"/>
                <w:sz w:val="21"/>
                <w:szCs w:val="21"/>
                <w:u w:val="none"/>
              </w:rPr>
            </w:pPr>
          </w:p>
        </w:tc>
      </w:tr>
      <w:tr w14:paraId="41E9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3FA613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119 </w:t>
            </w:r>
          </w:p>
        </w:tc>
        <w:tc>
          <w:tcPr>
            <w:tcW w:w="775" w:type="dxa"/>
            <w:shd w:val="clear" w:color="auto" w:fill="auto"/>
            <w:tcMar>
              <w:top w:w="10" w:type="dxa"/>
              <w:left w:w="10" w:type="dxa"/>
              <w:right w:w="10" w:type="dxa"/>
            </w:tcMar>
            <w:vAlign w:val="center"/>
          </w:tcPr>
          <w:p w14:paraId="6DA2E2C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25EEBC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对水利领域高危的生产经营单位未按照国家规定投保安全生产责任保险行为的行政处罚</w:t>
            </w:r>
          </w:p>
        </w:tc>
        <w:tc>
          <w:tcPr>
            <w:tcW w:w="548" w:type="dxa"/>
            <w:shd w:val="clear" w:color="auto" w:fill="auto"/>
            <w:tcMar>
              <w:top w:w="10" w:type="dxa"/>
              <w:left w:w="10" w:type="dxa"/>
              <w:right w:w="10" w:type="dxa"/>
            </w:tcMar>
            <w:vAlign w:val="center"/>
          </w:tcPr>
          <w:p w14:paraId="450183E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AD701B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10988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384137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第一百零九条 高危行业、领域的生产经营单位未按照国家规定投保安全生产责任保险的，责令限期改正，处五万元以上十万元以下的罚款；逾期未改正的，处十万元以上二十万元以下的罚款。</w:t>
            </w:r>
          </w:p>
        </w:tc>
        <w:tc>
          <w:tcPr>
            <w:tcW w:w="4075" w:type="dxa"/>
            <w:shd w:val="clear" w:color="auto" w:fill="auto"/>
            <w:tcMar>
              <w:top w:w="10" w:type="dxa"/>
              <w:left w:w="10" w:type="dxa"/>
              <w:right w:w="10" w:type="dxa"/>
            </w:tcMar>
            <w:vAlign w:val="center"/>
          </w:tcPr>
          <w:p w14:paraId="621636A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05B3DA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2D8CC2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648FDF7">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3DC4C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03D8916">
            <w:pPr>
              <w:jc w:val="center"/>
              <w:rPr>
                <w:rFonts w:hint="default" w:ascii="仿宋_GB2312" w:hAnsi="宋体" w:eastAsia="仿宋_GB2312" w:cs="仿宋_GB2312"/>
                <w:i w:val="0"/>
                <w:iCs w:val="0"/>
                <w:strike w:val="0"/>
                <w:dstrike w:val="0"/>
                <w:color w:val="auto"/>
                <w:sz w:val="21"/>
                <w:szCs w:val="21"/>
                <w:u w:val="none"/>
              </w:rPr>
            </w:pPr>
          </w:p>
        </w:tc>
      </w:tr>
      <w:tr w14:paraId="61DA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CCEDEA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120 </w:t>
            </w:r>
          </w:p>
        </w:tc>
        <w:tc>
          <w:tcPr>
            <w:tcW w:w="775" w:type="dxa"/>
            <w:shd w:val="clear" w:color="auto" w:fill="auto"/>
            <w:tcMar>
              <w:top w:w="10" w:type="dxa"/>
              <w:left w:w="10" w:type="dxa"/>
              <w:right w:w="10" w:type="dxa"/>
            </w:tcMar>
            <w:vAlign w:val="center"/>
          </w:tcPr>
          <w:p w14:paraId="61FFA0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1862BD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对水利领域生产经营单位被责令改正且受到罚款处罚，拒不改正行为的行政处罚</w:t>
            </w:r>
          </w:p>
        </w:tc>
        <w:tc>
          <w:tcPr>
            <w:tcW w:w="548" w:type="dxa"/>
            <w:shd w:val="clear" w:color="auto" w:fill="auto"/>
            <w:tcMar>
              <w:top w:w="10" w:type="dxa"/>
              <w:left w:w="10" w:type="dxa"/>
              <w:right w:w="10" w:type="dxa"/>
            </w:tcMar>
            <w:vAlign w:val="center"/>
          </w:tcPr>
          <w:p w14:paraId="1C84277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F51CE2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56E6BE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0600088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1.【法律】《中华人民共和国安全生产法》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第一百一十二条 生产经营单位违反本法规定，被责令改正且受到罚款处罚，拒不改正的，负有安全生产监督管理职责的部门可以自作出责令改正之日的次日起，按照原处罚数额按日连续处罚。</w:t>
            </w:r>
          </w:p>
        </w:tc>
        <w:tc>
          <w:tcPr>
            <w:tcW w:w="4075" w:type="dxa"/>
            <w:shd w:val="clear" w:color="auto" w:fill="auto"/>
            <w:tcMar>
              <w:top w:w="10" w:type="dxa"/>
              <w:left w:w="10" w:type="dxa"/>
              <w:right w:w="10" w:type="dxa"/>
            </w:tcMar>
            <w:vAlign w:val="center"/>
          </w:tcPr>
          <w:p w14:paraId="35F6A61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0071B2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AD9266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A9501E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1528C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296FD05">
            <w:pPr>
              <w:jc w:val="center"/>
              <w:rPr>
                <w:rFonts w:hint="default" w:ascii="仿宋_GB2312" w:hAnsi="宋体" w:eastAsia="仿宋_GB2312" w:cs="仿宋_GB2312"/>
                <w:i w:val="0"/>
                <w:iCs w:val="0"/>
                <w:strike w:val="0"/>
                <w:dstrike w:val="0"/>
                <w:color w:val="auto"/>
                <w:sz w:val="21"/>
                <w:szCs w:val="21"/>
                <w:u w:val="none"/>
              </w:rPr>
            </w:pPr>
          </w:p>
        </w:tc>
      </w:tr>
      <w:tr w14:paraId="6F2D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478ED3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121 </w:t>
            </w:r>
          </w:p>
        </w:tc>
        <w:tc>
          <w:tcPr>
            <w:tcW w:w="775" w:type="dxa"/>
            <w:shd w:val="clear" w:color="auto" w:fill="auto"/>
            <w:tcMar>
              <w:top w:w="10" w:type="dxa"/>
              <w:left w:w="10" w:type="dxa"/>
              <w:right w:w="10" w:type="dxa"/>
            </w:tcMar>
            <w:vAlign w:val="center"/>
          </w:tcPr>
          <w:p w14:paraId="2C48F82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937FFC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河道管理范围内建设妨碍行洪的建筑物、构筑物，或者从事影响河势稳定、危害河岸堤防安全和其他妨碍河道行洪的活动，擅自修建水工程，或者建设桥梁、码头和其他拦河、跨河、临河建筑物、构筑物，铺设跨河管道、电缆等行为的行政处罚</w:t>
            </w:r>
          </w:p>
        </w:tc>
        <w:tc>
          <w:tcPr>
            <w:tcW w:w="548" w:type="dxa"/>
            <w:shd w:val="clear" w:color="auto" w:fill="auto"/>
            <w:tcMar>
              <w:top w:w="10" w:type="dxa"/>
              <w:left w:w="10" w:type="dxa"/>
              <w:right w:w="10" w:type="dxa"/>
            </w:tcMar>
            <w:vAlign w:val="center"/>
          </w:tcPr>
          <w:p w14:paraId="5B4F696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43D431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86E5CB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32088CB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 在河道管理范围内建设妨碍行洪的建筑物、构筑物，或者从事影响河势稳定、危害河岸堤防安全和其他妨碍河道行洪的活动的，由县级以上人民政府水行政主管部门或者流域管理机构依据职权，责令停止违法行为，限期拆除违法建筑物、构筑物，恢复原状；逾期不拆除、不恢复原状的，强行拆除，所需费用由违法单位或者个人负担，并处一万元以上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未经水行政主管部门或者流域管理机构同意，擅自修建水工程，或者建设桥梁、码头和其他拦河、跨河、临河建筑物、构筑物，铺设跨河管道、电缆，且防洪法未作规定的，由县级以上人民政府水行政主管部门或者流域管理机构依据职权，责令停止违法行为，限期补办有关手续；逾期不补办或者补办未被批准的，责令限期拆除违法建筑物、构筑物；逾期不拆除的，强行拆除，所需费用由违法单位或者个人负担，并处一万元以上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虽经水行政主管部门或者流域管理机构同意，但未按照要求修建前款所列工程设施的，由县级以上人民政府水行政主管部门或者流域管理机构依据职权，责令限期改正，按照情节轻重，处一万元以上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第十七条 在江河、湖泊上建设防洪工程和其他水工程、水电站等，应当符合防洪规划的要求；水库应当按照防洪规划的要求留足防洪库容。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前款规定的防洪工程和其他水工程、水电站未取得有关水行政主管部门签署的符合防洪规划要求的规划同意书的，建设单位不得开工建设。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第二十二条第二款 禁止在河道、湖泊管理范围内建设妨碍行洪的建筑物、构筑物，倾倒垃圾、渣土，从事影响河势稳定、危害河岸堤防安全和其他妨碍河道行洪的活动。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工程设施需要占用河道、湖泊管理范围内土地，跨越河道、湖泊空间或者穿越河床的，建设单位应当经有关水行政主管部门对该工程设施建设的位置和界限审查批准后，方可依法办理开工手续；安排施工时，应当按照水行政主管部门审查批准的位置和界限进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第五十三条 违反本法第十七条规定，未经水行政主管部门签署规划同意书，擅自在江河、湖泊上建设防洪工程和其他水工程、水电站的，责令停止违法行为，补办规划同意书手续；违反规划同意书的要求，严重影响防洪的，责令限期拆除；违反规划同意书的要求，影响防洪但尚可采取补救措施的，责令限期采取补救措施，可以处一万元以上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违反本法第二十二条第二款、第三款规定，有下列行为之一的，责令停止违法行为，排除阻碍或者采取其他补救措施，可以处五万元以下的罚款：（一）在河道、湖泊管理范围内建设妨碍行洪的建筑物、构筑物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违反本法第二十七条规定，未经水行政主管部门对其工程建设方案审查同意或者未按照有关水行政主管部门审查批准的位置、界限，在河道、湖泊管理范围内从事工程设施建设活动的，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除本法第五十九条的规定外，本章规定的行政处罚和行政措施，由县级以上人民政府水行政主管部门决定，或者由流域管理机构按照国务院水行政主管部门规定的权限决定。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对当事人的同一个违法行为，不得给予两次以上罚款的行政处罚。同一个违法行为违反多个法律规范应当给予罚款处罚的，按照罚款数额高的规定处罚。</w:t>
            </w:r>
          </w:p>
        </w:tc>
        <w:tc>
          <w:tcPr>
            <w:tcW w:w="4075" w:type="dxa"/>
            <w:shd w:val="clear" w:color="auto" w:fill="auto"/>
            <w:tcMar>
              <w:top w:w="10" w:type="dxa"/>
              <w:left w:w="10" w:type="dxa"/>
              <w:right w:w="10" w:type="dxa"/>
            </w:tcMar>
            <w:vAlign w:val="center"/>
          </w:tcPr>
          <w:p w14:paraId="0C9FA1B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24165E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46441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59AFC8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54A9FA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733696C">
            <w:pPr>
              <w:jc w:val="center"/>
              <w:rPr>
                <w:rFonts w:hint="default" w:ascii="仿宋_GB2312" w:hAnsi="宋体" w:eastAsia="仿宋_GB2312" w:cs="仿宋_GB2312"/>
                <w:i w:val="0"/>
                <w:iCs w:val="0"/>
                <w:strike w:val="0"/>
                <w:dstrike w:val="0"/>
                <w:color w:val="auto"/>
                <w:sz w:val="21"/>
                <w:szCs w:val="21"/>
                <w:u w:val="none"/>
              </w:rPr>
            </w:pPr>
          </w:p>
        </w:tc>
      </w:tr>
      <w:tr w14:paraId="398E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E56E60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122 </w:t>
            </w:r>
          </w:p>
        </w:tc>
        <w:tc>
          <w:tcPr>
            <w:tcW w:w="775" w:type="dxa"/>
            <w:shd w:val="clear" w:color="auto" w:fill="auto"/>
            <w:tcMar>
              <w:top w:w="10" w:type="dxa"/>
              <w:left w:w="10" w:type="dxa"/>
              <w:right w:w="10" w:type="dxa"/>
            </w:tcMar>
            <w:vAlign w:val="center"/>
          </w:tcPr>
          <w:p w14:paraId="14A2F22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216810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对未经批准或者不按照河道主管机关的规定在河道管理范围内采砂、取土、淘金、弃置砂石或者淤泥、爆破、钻探、挖筑鱼塘行为的行政处罚</w:t>
            </w:r>
          </w:p>
        </w:tc>
        <w:tc>
          <w:tcPr>
            <w:tcW w:w="548" w:type="dxa"/>
            <w:shd w:val="clear" w:color="auto" w:fill="auto"/>
            <w:tcMar>
              <w:top w:w="10" w:type="dxa"/>
              <w:left w:w="10" w:type="dxa"/>
              <w:right w:w="10" w:type="dxa"/>
            </w:tcMar>
            <w:vAlign w:val="center"/>
          </w:tcPr>
          <w:p w14:paraId="4B5B279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E4CDA8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14E60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34C81F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【法律】1.《中华人民共和国水法》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第三十九条 国家实行河道采砂许可制度。河道采砂许可制度实施办法，由国务院规定。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在河道管理范围内采砂，影响河势稳定或者危及堤防安全的，有关县级以上人民政府水行政主管部门应当划定禁采区和规定禁采期，并予以公告。</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第七十七条 对违反本法第三十九条有关河道采砂许可制度规定的行政处罚，由国务院规定。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2.【行政法规】《中华人民共和国河道管理条例》（1988年国务院令第3号公布，2018年国务院令第698号第四次修正）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四）未经批准或者不按照河道主管机关的规定在河道管理范围内采砂、取土、淘金、弃置砂石或者淤泥、爆破、钻探、挖筑鱼塘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第十四条第二款 未取得河道采砂许可证，不得从事河道采砂活动。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第三十三条 违反本条例第十四条第二款规定，未依法取得河道采砂许可证擅自在河道采砂的，由县级以上人民政府水行政主管部门责令停止违法行为，扣押违法采砂机具，没收违法所得，并处三万元以上十万元以下罚款。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违反本条例第十四条第二款规定，未依法取得河道采砂许可证擅自在河道采砂，有下列情形之一，违法采砂一百立方米以上三百立方米以下的，可并处十万元以上三十万元以下罚款；违法采砂三百立方米以上的，可并处三十万元以上五十万元以下罚款：（一）违法采砂两次以上；（二）在桥梁、码头、拦河闸坝、取水口、水文监测等工程及其附属设施安全保护范围内采砂；（三）在堤防管理范围内采砂；（四）在禁采区或者禁采期采砂；（五）违法采砂造成水工程损坏、河势改变、水生态环境破坏、矿产资源破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4.【地方性法规】《广西壮族自治区河道管理规定》（2000年自治区九届人民代表大会常务委员会公告第26号发布，2018年自治区人民代表大会常务委员会公告13届第7号修正）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违反《中华人民共和国河道管理条例》第二十五条规定，在河道管理范围内，未经河道主管机关批准，或者未经河道主管机关会同有关部门批准，有下列行为之一的，河道主管机关可以处一百元以上一千元以下的罚款；情节严重的，可以处一千元以上二万元以下的罚款：（一）采砂、取土、淘金、弃置砂石或者淤泥的；（二）爆破、钻探、挖筑鱼塘的；</w:t>
            </w:r>
          </w:p>
        </w:tc>
        <w:tc>
          <w:tcPr>
            <w:tcW w:w="4075" w:type="dxa"/>
            <w:shd w:val="clear" w:color="auto" w:fill="auto"/>
            <w:tcMar>
              <w:top w:w="10" w:type="dxa"/>
              <w:left w:w="10" w:type="dxa"/>
              <w:right w:w="10" w:type="dxa"/>
            </w:tcMar>
            <w:vAlign w:val="center"/>
          </w:tcPr>
          <w:p w14:paraId="4243FD4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3746AD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812F70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13E3B8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49E78B6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14C0E01">
            <w:pPr>
              <w:jc w:val="center"/>
              <w:rPr>
                <w:rFonts w:hint="default" w:ascii="仿宋_GB2312" w:hAnsi="宋体" w:eastAsia="仿宋_GB2312" w:cs="仿宋_GB2312"/>
                <w:i w:val="0"/>
                <w:iCs w:val="0"/>
                <w:strike w:val="0"/>
                <w:dstrike w:val="0"/>
                <w:color w:val="auto"/>
                <w:sz w:val="21"/>
                <w:szCs w:val="21"/>
                <w:u w:val="none"/>
              </w:rPr>
            </w:pPr>
          </w:p>
        </w:tc>
      </w:tr>
      <w:tr w14:paraId="14C3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604C6E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123 </w:t>
            </w:r>
          </w:p>
        </w:tc>
        <w:tc>
          <w:tcPr>
            <w:tcW w:w="775" w:type="dxa"/>
            <w:shd w:val="clear" w:color="auto" w:fill="auto"/>
            <w:tcMar>
              <w:top w:w="10" w:type="dxa"/>
              <w:left w:w="10" w:type="dxa"/>
              <w:right w:w="10" w:type="dxa"/>
            </w:tcMar>
            <w:vAlign w:val="center"/>
          </w:tcPr>
          <w:p w14:paraId="35D1DD9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3130D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对伪造、涂改、倒卖、出租、出借或者以其他形式非法转让河道采砂许可证行为的行政处罚</w:t>
            </w:r>
          </w:p>
        </w:tc>
        <w:tc>
          <w:tcPr>
            <w:tcW w:w="548" w:type="dxa"/>
            <w:shd w:val="clear" w:color="auto" w:fill="auto"/>
            <w:tcMar>
              <w:top w:w="10" w:type="dxa"/>
              <w:left w:w="10" w:type="dxa"/>
              <w:right w:w="10" w:type="dxa"/>
            </w:tcMar>
            <w:vAlign w:val="center"/>
          </w:tcPr>
          <w:p w14:paraId="1BA0DF6E">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5183F4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723C1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50F5E5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任何单位和个人不得伪造、涂改、倒卖、出租、出借或者以其他形式非法转让河道采砂许可证。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违反本条例第二十一条规定，伪造、涂改、倒卖、出租、出借或者以其他形式非法转让河道采砂许可证的，由县级以上人民政府水行政主管部门收缴或者吊销河道采砂许可证，没收违法所得，并处二万元以上十万元以下罚款。</w:t>
            </w:r>
          </w:p>
        </w:tc>
        <w:tc>
          <w:tcPr>
            <w:tcW w:w="4075" w:type="dxa"/>
            <w:shd w:val="clear" w:color="auto" w:fill="auto"/>
            <w:tcMar>
              <w:top w:w="10" w:type="dxa"/>
              <w:left w:w="10" w:type="dxa"/>
              <w:right w:w="10" w:type="dxa"/>
            </w:tcMar>
            <w:vAlign w:val="center"/>
          </w:tcPr>
          <w:p w14:paraId="62D627D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2CE777A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53F57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2482518">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3FCE8F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7272CA3">
            <w:pPr>
              <w:jc w:val="center"/>
              <w:rPr>
                <w:rFonts w:hint="default" w:ascii="仿宋_GB2312" w:hAnsi="宋体" w:eastAsia="仿宋_GB2312" w:cs="仿宋_GB2312"/>
                <w:i w:val="0"/>
                <w:iCs w:val="0"/>
                <w:strike w:val="0"/>
                <w:dstrike w:val="0"/>
                <w:color w:val="auto"/>
                <w:sz w:val="21"/>
                <w:szCs w:val="21"/>
                <w:u w:val="none"/>
              </w:rPr>
            </w:pPr>
          </w:p>
        </w:tc>
      </w:tr>
      <w:tr w14:paraId="7E2A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3D86D9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124 </w:t>
            </w:r>
          </w:p>
        </w:tc>
        <w:tc>
          <w:tcPr>
            <w:tcW w:w="775" w:type="dxa"/>
            <w:shd w:val="clear" w:color="auto" w:fill="auto"/>
            <w:tcMar>
              <w:top w:w="10" w:type="dxa"/>
              <w:left w:w="10" w:type="dxa"/>
              <w:right w:w="10" w:type="dxa"/>
            </w:tcMar>
            <w:vAlign w:val="center"/>
          </w:tcPr>
          <w:p w14:paraId="5410D07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08D5F1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对不按照河道采砂许可证的规定采砂行为的行政处罚</w:t>
            </w:r>
          </w:p>
        </w:tc>
        <w:tc>
          <w:tcPr>
            <w:tcW w:w="548" w:type="dxa"/>
            <w:shd w:val="clear" w:color="auto" w:fill="auto"/>
            <w:tcMar>
              <w:top w:w="10" w:type="dxa"/>
              <w:left w:w="10" w:type="dxa"/>
              <w:right w:w="10" w:type="dxa"/>
            </w:tcMar>
            <w:vAlign w:val="center"/>
          </w:tcPr>
          <w:p w14:paraId="0E1C95E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1812E4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01F60B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25CF072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第二十三条  从事河道采砂活动应当遵守下列规定：（一）按照河道采砂许可证的规定采砂；</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违反本条例第二十三条第一项规定，不按照河道采砂许可证的规定采砂的，由县级以上人民政府水行政主管部门责令停止违法行为，扣押违法采砂机具，没收违法所得，并处一万元以上十万元以下罚款；情节严重的，吊销河道采砂许可证，并处十万元以上二十万元以下罚款。</w:t>
            </w:r>
          </w:p>
        </w:tc>
        <w:tc>
          <w:tcPr>
            <w:tcW w:w="4075" w:type="dxa"/>
            <w:shd w:val="clear" w:color="auto" w:fill="auto"/>
            <w:tcMar>
              <w:top w:w="10" w:type="dxa"/>
              <w:left w:w="10" w:type="dxa"/>
              <w:right w:w="10" w:type="dxa"/>
            </w:tcMar>
            <w:vAlign w:val="center"/>
          </w:tcPr>
          <w:p w14:paraId="61D821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25D1ED2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79E6A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E8BB40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859989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A174BDF">
            <w:pPr>
              <w:jc w:val="center"/>
              <w:rPr>
                <w:rFonts w:hint="default" w:ascii="仿宋_GB2312" w:hAnsi="宋体" w:eastAsia="仿宋_GB2312" w:cs="仿宋_GB2312"/>
                <w:i w:val="0"/>
                <w:iCs w:val="0"/>
                <w:strike w:val="0"/>
                <w:dstrike w:val="0"/>
                <w:color w:val="auto"/>
                <w:sz w:val="21"/>
                <w:szCs w:val="21"/>
                <w:u w:val="none"/>
              </w:rPr>
            </w:pPr>
          </w:p>
        </w:tc>
      </w:tr>
      <w:tr w14:paraId="07D7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321903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125 </w:t>
            </w:r>
          </w:p>
        </w:tc>
        <w:tc>
          <w:tcPr>
            <w:tcW w:w="775" w:type="dxa"/>
            <w:shd w:val="clear" w:color="auto" w:fill="auto"/>
            <w:tcMar>
              <w:top w:w="10" w:type="dxa"/>
              <w:left w:w="10" w:type="dxa"/>
              <w:right w:w="10" w:type="dxa"/>
            </w:tcMar>
            <w:vAlign w:val="center"/>
          </w:tcPr>
          <w:p w14:paraId="0DDB56F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9940B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对未及时清运砂石、平整弃料堆体或者采砂坑槽行为的行政处罚</w:t>
            </w:r>
          </w:p>
        </w:tc>
        <w:tc>
          <w:tcPr>
            <w:tcW w:w="548" w:type="dxa"/>
            <w:shd w:val="clear" w:color="auto" w:fill="auto"/>
            <w:tcMar>
              <w:top w:w="10" w:type="dxa"/>
              <w:left w:w="10" w:type="dxa"/>
              <w:right w:w="10" w:type="dxa"/>
            </w:tcMar>
            <w:vAlign w:val="center"/>
          </w:tcPr>
          <w:p w14:paraId="55D3742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5CD973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7DA5A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4C6EC6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第二十三条 从事河道采砂活动应当遵守下列规定：（六）及时清运砂石、平整弃料堆体或者采砂坑槽；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违反本条例第二十三条第六项规定，未及时清运砂石、平整弃料堆体或者采砂坑槽的，由县级以上人民政府水行政主管部门责令限期整改，处一万元以下罚款；逾期不整改的，处一万元以上十万元以下罚款，并由县级以上人民政府水行政主管部门组织现场清理、平整，所需费用由从事河道采砂的单位和个人承担。</w:t>
            </w:r>
          </w:p>
        </w:tc>
        <w:tc>
          <w:tcPr>
            <w:tcW w:w="4075" w:type="dxa"/>
            <w:shd w:val="clear" w:color="auto" w:fill="auto"/>
            <w:tcMar>
              <w:top w:w="10" w:type="dxa"/>
              <w:left w:w="10" w:type="dxa"/>
              <w:right w:w="10" w:type="dxa"/>
            </w:tcMar>
            <w:vAlign w:val="center"/>
          </w:tcPr>
          <w:p w14:paraId="2C00B5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4F84994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03269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285427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6EE919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AE4E80C">
            <w:pPr>
              <w:jc w:val="center"/>
              <w:rPr>
                <w:rFonts w:hint="default" w:ascii="仿宋_GB2312" w:hAnsi="宋体" w:eastAsia="仿宋_GB2312" w:cs="仿宋_GB2312"/>
                <w:i w:val="0"/>
                <w:iCs w:val="0"/>
                <w:strike w:val="0"/>
                <w:dstrike w:val="0"/>
                <w:color w:val="auto"/>
                <w:sz w:val="21"/>
                <w:szCs w:val="21"/>
                <w:u w:val="none"/>
              </w:rPr>
            </w:pPr>
          </w:p>
        </w:tc>
      </w:tr>
      <w:tr w14:paraId="2900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5CF2CC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126 </w:t>
            </w:r>
          </w:p>
        </w:tc>
        <w:tc>
          <w:tcPr>
            <w:tcW w:w="775" w:type="dxa"/>
            <w:shd w:val="clear" w:color="auto" w:fill="auto"/>
            <w:tcMar>
              <w:top w:w="10" w:type="dxa"/>
              <w:left w:w="10" w:type="dxa"/>
              <w:right w:w="10" w:type="dxa"/>
            </w:tcMar>
            <w:vAlign w:val="center"/>
          </w:tcPr>
          <w:p w14:paraId="2A14575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DEBCB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对采砂机具在禁采区滞留，未取得河道采砂许可证的采砂机具在可采区滞留行为的行政处罚</w:t>
            </w:r>
          </w:p>
        </w:tc>
        <w:tc>
          <w:tcPr>
            <w:tcW w:w="548" w:type="dxa"/>
            <w:shd w:val="clear" w:color="auto" w:fill="auto"/>
            <w:tcMar>
              <w:top w:w="10" w:type="dxa"/>
              <w:left w:w="10" w:type="dxa"/>
              <w:right w:w="10" w:type="dxa"/>
            </w:tcMar>
            <w:vAlign w:val="center"/>
          </w:tcPr>
          <w:p w14:paraId="6ACB51A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D9EFED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2C783A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4F2025E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第二十四条 任何采砂机具不得在禁采区滞留；未取得河道采砂许可证的采砂机具不得在可采区滞留。</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采砂机具在禁采期应当按照所在地县级人民政府指定的地点停放，未经同意不得擅自离开。</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违反本条例第二十四条规定，采砂机具在禁采区滞留，未取得河道采砂许可证的采砂机具在可采区滞留，或者采砂机具在禁采期未按照指定地点停放，擅自离开指定地点的，由县级以上人民政府水行政主管部门责令限期改正，并处五千元以上三万元以下罚款。</w:t>
            </w:r>
          </w:p>
        </w:tc>
        <w:tc>
          <w:tcPr>
            <w:tcW w:w="4075" w:type="dxa"/>
            <w:shd w:val="clear" w:color="auto" w:fill="auto"/>
            <w:tcMar>
              <w:top w:w="10" w:type="dxa"/>
              <w:left w:w="10" w:type="dxa"/>
              <w:right w:w="10" w:type="dxa"/>
            </w:tcMar>
            <w:vAlign w:val="center"/>
          </w:tcPr>
          <w:p w14:paraId="5032B09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0C6A57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17BCB0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0DEC0A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A2940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C53EDA2">
            <w:pPr>
              <w:jc w:val="center"/>
              <w:rPr>
                <w:rFonts w:hint="default" w:ascii="仿宋_GB2312" w:hAnsi="宋体" w:eastAsia="仿宋_GB2312" w:cs="仿宋_GB2312"/>
                <w:i w:val="0"/>
                <w:iCs w:val="0"/>
                <w:strike w:val="0"/>
                <w:dstrike w:val="0"/>
                <w:color w:val="auto"/>
                <w:sz w:val="21"/>
                <w:szCs w:val="21"/>
                <w:u w:val="none"/>
              </w:rPr>
            </w:pPr>
          </w:p>
        </w:tc>
      </w:tr>
      <w:tr w14:paraId="0218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2062F4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127 </w:t>
            </w:r>
          </w:p>
        </w:tc>
        <w:tc>
          <w:tcPr>
            <w:tcW w:w="775" w:type="dxa"/>
            <w:shd w:val="clear" w:color="auto" w:fill="auto"/>
            <w:tcMar>
              <w:top w:w="10" w:type="dxa"/>
              <w:left w:w="10" w:type="dxa"/>
              <w:right w:w="10" w:type="dxa"/>
            </w:tcMar>
            <w:vAlign w:val="center"/>
          </w:tcPr>
          <w:p w14:paraId="3A95BAF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7EC359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对采砂机具在禁采期未按照指定地点停放，擅自离开指定地点行为的行政处罚</w:t>
            </w:r>
          </w:p>
        </w:tc>
        <w:tc>
          <w:tcPr>
            <w:tcW w:w="548" w:type="dxa"/>
            <w:shd w:val="clear" w:color="auto" w:fill="auto"/>
            <w:tcMar>
              <w:top w:w="10" w:type="dxa"/>
              <w:left w:w="10" w:type="dxa"/>
              <w:right w:w="10" w:type="dxa"/>
            </w:tcMar>
            <w:vAlign w:val="center"/>
          </w:tcPr>
          <w:p w14:paraId="4145872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532074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A059A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16C096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第二十四条 任何采砂机具不得在禁采区滞留；未取得河道采砂许可证的采砂机具不得在可采区滞留。</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采砂机具在禁采期应当按照所在地县级人民政府指定的地点停放，未经同意不得擅自离开。</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违反本条例第二十四条规定，采砂机具在禁采区滞留，未取得河道采砂许可证的采砂机具在可采区滞留，或者采砂机具在禁采期未按照指定地点停放，擅自离开指定地点的，由县级以上人民政府水行政主管部门责令限期改正，并处五千元以上三万元以下罚款。</w:t>
            </w:r>
          </w:p>
        </w:tc>
        <w:tc>
          <w:tcPr>
            <w:tcW w:w="4075" w:type="dxa"/>
            <w:shd w:val="clear" w:color="auto" w:fill="auto"/>
            <w:tcMar>
              <w:top w:w="10" w:type="dxa"/>
              <w:left w:w="10" w:type="dxa"/>
              <w:right w:w="10" w:type="dxa"/>
            </w:tcMar>
            <w:vAlign w:val="center"/>
          </w:tcPr>
          <w:p w14:paraId="36E081A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7422FF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48C86C5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3BB601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6D3652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5BBBA13">
            <w:pPr>
              <w:jc w:val="center"/>
              <w:rPr>
                <w:rFonts w:hint="default" w:ascii="仿宋_GB2312" w:hAnsi="宋体" w:eastAsia="仿宋_GB2312" w:cs="仿宋_GB2312"/>
                <w:i w:val="0"/>
                <w:iCs w:val="0"/>
                <w:strike w:val="0"/>
                <w:dstrike w:val="0"/>
                <w:color w:val="auto"/>
                <w:sz w:val="21"/>
                <w:szCs w:val="21"/>
                <w:u w:val="none"/>
              </w:rPr>
            </w:pPr>
          </w:p>
        </w:tc>
      </w:tr>
      <w:tr w14:paraId="3113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92F03D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128 </w:t>
            </w:r>
          </w:p>
        </w:tc>
        <w:tc>
          <w:tcPr>
            <w:tcW w:w="775" w:type="dxa"/>
            <w:shd w:val="clear" w:color="auto" w:fill="auto"/>
            <w:tcMar>
              <w:top w:w="10" w:type="dxa"/>
              <w:left w:w="10" w:type="dxa"/>
              <w:right w:w="10" w:type="dxa"/>
            </w:tcMar>
            <w:vAlign w:val="center"/>
          </w:tcPr>
          <w:p w14:paraId="55AE522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5CFE6ED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对未经批准擅自在河道管理范围内设置堆砂场存放砂石行为的行政处罚</w:t>
            </w:r>
          </w:p>
        </w:tc>
        <w:tc>
          <w:tcPr>
            <w:tcW w:w="548" w:type="dxa"/>
            <w:shd w:val="clear" w:color="auto" w:fill="auto"/>
            <w:tcMar>
              <w:top w:w="10" w:type="dxa"/>
              <w:left w:w="10" w:type="dxa"/>
              <w:right w:w="10" w:type="dxa"/>
            </w:tcMar>
            <w:vAlign w:val="center"/>
          </w:tcPr>
          <w:p w14:paraId="57F5190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CE868F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9AE6C3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3EAA366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第二十五条 从事河道采砂的单位和个人在河道管理范围内设置堆砂场存放砂石，应当报经有管辖权的设区的市、县级人民政府水行政主管部门批准。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第三十九条 违反本条例第二十五条规定，未经批准擅自在河道管理范围内设置堆砂场存放砂石的，由县级以上人民政府水行政主管部门责令停止违法行为，限期清除；逾期未清除的，处一万元以上十万元以下罚款。</w:t>
            </w:r>
          </w:p>
        </w:tc>
        <w:tc>
          <w:tcPr>
            <w:tcW w:w="4075" w:type="dxa"/>
            <w:shd w:val="clear" w:color="auto" w:fill="auto"/>
            <w:tcMar>
              <w:top w:w="10" w:type="dxa"/>
              <w:left w:w="10" w:type="dxa"/>
              <w:right w:w="10" w:type="dxa"/>
            </w:tcMar>
            <w:vAlign w:val="center"/>
          </w:tcPr>
          <w:p w14:paraId="25D2981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643F13F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117CF3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4D4DF4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F0C7C6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D7AE7B3">
            <w:pPr>
              <w:jc w:val="center"/>
              <w:rPr>
                <w:rFonts w:hint="default" w:ascii="仿宋_GB2312" w:hAnsi="宋体" w:eastAsia="仿宋_GB2312" w:cs="仿宋_GB2312"/>
                <w:i w:val="0"/>
                <w:iCs w:val="0"/>
                <w:strike w:val="0"/>
                <w:dstrike w:val="0"/>
                <w:color w:val="auto"/>
                <w:sz w:val="21"/>
                <w:szCs w:val="21"/>
                <w:u w:val="none"/>
              </w:rPr>
            </w:pPr>
          </w:p>
        </w:tc>
      </w:tr>
      <w:tr w14:paraId="2518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663D4D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129 </w:t>
            </w:r>
          </w:p>
        </w:tc>
        <w:tc>
          <w:tcPr>
            <w:tcW w:w="775" w:type="dxa"/>
            <w:shd w:val="clear" w:color="auto" w:fill="auto"/>
            <w:tcMar>
              <w:top w:w="10" w:type="dxa"/>
              <w:left w:w="10" w:type="dxa"/>
              <w:right w:w="10" w:type="dxa"/>
            </w:tcMar>
            <w:vAlign w:val="center"/>
          </w:tcPr>
          <w:p w14:paraId="2AD05CA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91B847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对在河道管理范围内运输没有合法来源证明的砂石行为的行政处罚</w:t>
            </w:r>
          </w:p>
        </w:tc>
        <w:tc>
          <w:tcPr>
            <w:tcW w:w="548" w:type="dxa"/>
            <w:shd w:val="clear" w:color="auto" w:fill="auto"/>
            <w:tcMar>
              <w:top w:w="10" w:type="dxa"/>
              <w:left w:w="10" w:type="dxa"/>
              <w:right w:w="10" w:type="dxa"/>
            </w:tcMar>
            <w:vAlign w:val="center"/>
          </w:tcPr>
          <w:p w14:paraId="017F83D1">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DEE0F5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60D65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257958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第二十九条第一款 在河道管理范围内运输砂石应当持有砂石合法来源证明，禁止运输非法开采的砂石。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第四十条 违反本条例第二十九条第一款规定，在河道管理范围内运输没有合法来源证明的砂石的，由县级以上人民政府水行政主管部门责令停止违法行为，没收违法所得，并处五千元以上五万元以下罚款。</w:t>
            </w:r>
          </w:p>
        </w:tc>
        <w:tc>
          <w:tcPr>
            <w:tcW w:w="4075" w:type="dxa"/>
            <w:shd w:val="clear" w:color="auto" w:fill="auto"/>
            <w:tcMar>
              <w:top w:w="10" w:type="dxa"/>
              <w:left w:w="10" w:type="dxa"/>
              <w:right w:w="10" w:type="dxa"/>
            </w:tcMar>
            <w:vAlign w:val="center"/>
          </w:tcPr>
          <w:p w14:paraId="62D8EF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567074B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69E9F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43A819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8D163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EC70909">
            <w:pPr>
              <w:jc w:val="center"/>
              <w:rPr>
                <w:rFonts w:hint="default" w:ascii="仿宋_GB2312" w:hAnsi="宋体" w:eastAsia="仿宋_GB2312" w:cs="仿宋_GB2312"/>
                <w:i w:val="0"/>
                <w:iCs w:val="0"/>
                <w:strike w:val="0"/>
                <w:dstrike w:val="0"/>
                <w:color w:val="auto"/>
                <w:sz w:val="21"/>
                <w:szCs w:val="21"/>
                <w:u w:val="none"/>
              </w:rPr>
            </w:pPr>
          </w:p>
        </w:tc>
      </w:tr>
      <w:tr w14:paraId="7415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F3833B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130 </w:t>
            </w:r>
          </w:p>
        </w:tc>
        <w:tc>
          <w:tcPr>
            <w:tcW w:w="775" w:type="dxa"/>
            <w:shd w:val="clear" w:color="auto" w:fill="auto"/>
            <w:tcMar>
              <w:top w:w="10" w:type="dxa"/>
              <w:left w:w="10" w:type="dxa"/>
              <w:right w:w="10" w:type="dxa"/>
            </w:tcMar>
            <w:vAlign w:val="center"/>
          </w:tcPr>
          <w:p w14:paraId="732FCBE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F45A3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对汛期违反防汛指挥部的规定或者指令行为的行政处罚</w:t>
            </w:r>
          </w:p>
        </w:tc>
        <w:tc>
          <w:tcPr>
            <w:tcW w:w="548" w:type="dxa"/>
            <w:shd w:val="clear" w:color="auto" w:fill="auto"/>
            <w:tcMar>
              <w:top w:w="10" w:type="dxa"/>
              <w:left w:w="10" w:type="dxa"/>
              <w:right w:w="10" w:type="dxa"/>
            </w:tcMar>
            <w:vAlign w:val="center"/>
          </w:tcPr>
          <w:p w14:paraId="61F9629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DCF082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745BD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78BB104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1.【行政法规】《中华人民共和国河道管理条例》（1988年国务院令第3号公布，2018年国务院令第698号第四次修正）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八）汛期违反防汛指挥部的规定或者指令的。</w:t>
            </w:r>
          </w:p>
        </w:tc>
        <w:tc>
          <w:tcPr>
            <w:tcW w:w="4075" w:type="dxa"/>
            <w:shd w:val="clear" w:color="auto" w:fill="auto"/>
            <w:tcMar>
              <w:top w:w="10" w:type="dxa"/>
              <w:left w:w="10" w:type="dxa"/>
              <w:right w:w="10" w:type="dxa"/>
            </w:tcMar>
            <w:vAlign w:val="center"/>
          </w:tcPr>
          <w:p w14:paraId="2CC4956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CF4C02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9CB88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C4A8C7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B9A68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F79C69A">
            <w:pPr>
              <w:jc w:val="center"/>
              <w:rPr>
                <w:rFonts w:hint="default" w:ascii="仿宋_GB2312" w:hAnsi="宋体" w:eastAsia="仿宋_GB2312" w:cs="仿宋_GB2312"/>
                <w:i w:val="0"/>
                <w:iCs w:val="0"/>
                <w:strike w:val="0"/>
                <w:dstrike w:val="0"/>
                <w:color w:val="auto"/>
                <w:sz w:val="21"/>
                <w:szCs w:val="21"/>
                <w:u w:val="none"/>
              </w:rPr>
            </w:pPr>
          </w:p>
        </w:tc>
      </w:tr>
      <w:tr w14:paraId="437E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75BC0F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131 </w:t>
            </w:r>
          </w:p>
        </w:tc>
        <w:tc>
          <w:tcPr>
            <w:tcW w:w="775" w:type="dxa"/>
            <w:shd w:val="clear" w:color="auto" w:fill="auto"/>
            <w:tcMar>
              <w:top w:w="10" w:type="dxa"/>
              <w:left w:w="10" w:type="dxa"/>
              <w:right w:w="10" w:type="dxa"/>
            </w:tcMar>
            <w:vAlign w:val="center"/>
          </w:tcPr>
          <w:p w14:paraId="06385D3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A097B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对在洪泛区、蓄滞洪区内建设非防洪建设项目，未编制洪水影响评价报告或者洪水影响评价报告未经审查批准开工建设等行为的行政处罚</w:t>
            </w:r>
          </w:p>
        </w:tc>
        <w:tc>
          <w:tcPr>
            <w:tcW w:w="548" w:type="dxa"/>
            <w:shd w:val="clear" w:color="auto" w:fill="auto"/>
            <w:tcMar>
              <w:top w:w="10" w:type="dxa"/>
              <w:left w:w="10" w:type="dxa"/>
              <w:right w:w="10" w:type="dxa"/>
            </w:tcMar>
            <w:vAlign w:val="center"/>
          </w:tcPr>
          <w:p w14:paraId="0AAAE2E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1652D7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F6F96E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429B827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第三十三条 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在蓄滞洪区内建设的油田、铁路、公路、矿山、电厂、电信设施和管道，其洪水影响评价报告应当包括建设单位自行安排的防洪避洪方案。建设项目投入生产或者使用时，其防洪工程设施应当经水行政主管部门验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违反本法第三十三条第一款规定，在洪泛区、蓄滞洪区内建设非防洪建设项目，未编制洪水影响评价报告或者洪水影响评价报告未经审查批准开工建设的，责令限期改正；逾期不改正的，处五万元以下的罚款。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违反本法第三十三条第二款规定，防洪工程设施未经验收，即将建设项目投入生产或者使用的，责令停止生产或者使用，限期验收防洪工程设施，可以处五万元以下的罚款。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除本法第五十九条的规定外，本章规定的行政处罚和行政措施，由县级以上人民政府水行政主管部门决定，或者由流域管理机构按照国务院水行政主管部门规定的权限决定。</w:t>
            </w:r>
          </w:p>
        </w:tc>
        <w:tc>
          <w:tcPr>
            <w:tcW w:w="4075" w:type="dxa"/>
            <w:shd w:val="clear" w:color="auto" w:fill="auto"/>
            <w:tcMar>
              <w:top w:w="10" w:type="dxa"/>
              <w:left w:w="10" w:type="dxa"/>
              <w:right w:w="10" w:type="dxa"/>
            </w:tcMar>
            <w:vAlign w:val="center"/>
          </w:tcPr>
          <w:p w14:paraId="0F2A54E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143B54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61C96A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664F55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E28402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666BA09">
            <w:pPr>
              <w:jc w:val="center"/>
              <w:rPr>
                <w:rFonts w:hint="default" w:ascii="仿宋_GB2312" w:hAnsi="宋体" w:eastAsia="仿宋_GB2312" w:cs="仿宋_GB2312"/>
                <w:i w:val="0"/>
                <w:iCs w:val="0"/>
                <w:strike w:val="0"/>
                <w:dstrike w:val="0"/>
                <w:color w:val="auto"/>
                <w:sz w:val="21"/>
                <w:szCs w:val="21"/>
                <w:u w:val="none"/>
              </w:rPr>
            </w:pPr>
          </w:p>
        </w:tc>
      </w:tr>
      <w:tr w14:paraId="24CF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8B6E8C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132 </w:t>
            </w:r>
          </w:p>
        </w:tc>
        <w:tc>
          <w:tcPr>
            <w:tcW w:w="775" w:type="dxa"/>
            <w:shd w:val="clear" w:color="auto" w:fill="auto"/>
            <w:tcMar>
              <w:top w:w="10" w:type="dxa"/>
              <w:left w:w="10" w:type="dxa"/>
              <w:right w:w="10" w:type="dxa"/>
            </w:tcMar>
            <w:vAlign w:val="center"/>
          </w:tcPr>
          <w:p w14:paraId="03E3782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72BD8E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对未经水文机构同意，擅自转让、转借、出版水文机构提供的水文监测资料或者用于其他营利性活动的行为的行政处罚</w:t>
            </w:r>
          </w:p>
        </w:tc>
        <w:tc>
          <w:tcPr>
            <w:tcW w:w="548" w:type="dxa"/>
            <w:shd w:val="clear" w:color="auto" w:fill="auto"/>
            <w:tcMar>
              <w:top w:w="10" w:type="dxa"/>
              <w:left w:w="10" w:type="dxa"/>
              <w:right w:w="10" w:type="dxa"/>
            </w:tcMar>
            <w:vAlign w:val="center"/>
          </w:tcPr>
          <w:p w14:paraId="4D71441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214E43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A0A3E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工程监督管理科（水旱灾害防御科） </w:t>
            </w:r>
          </w:p>
        </w:tc>
        <w:tc>
          <w:tcPr>
            <w:tcW w:w="2789" w:type="dxa"/>
            <w:shd w:val="clear" w:color="auto" w:fill="auto"/>
            <w:tcMar>
              <w:top w:w="10" w:type="dxa"/>
              <w:left w:w="10" w:type="dxa"/>
              <w:right w:w="10" w:type="dxa"/>
            </w:tcMar>
            <w:vAlign w:val="center"/>
          </w:tcPr>
          <w:p w14:paraId="3F35DF9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1.【地方性法规】《广西壮族自治区水文条例》（2007年自治区第十届人民代表大会常务委员会第二十九次会议通过，2024年第二次修正）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第二十七条第二款 除国家机关决策和防灾减灾、国防建设、公共安全、环境保护等公益事业需要使用的水文监测资料和成果以及依法公开的基本水文监测资料外，水文机构为特定项目提供的水文监测资料，只供使用单位用于该特定项目，未经水文机构同意，任何单位和个人不得擅自转让、转借、出版或者用于其他营利性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 违反本条例第二十七条第二款规定，擅自利用水文机构提供的水文监测资料进行营利性活动的，由县级以上人民政府水行政主管部门责令停止违法行为，没收违法所得，并处一万元以下罚款。</w:t>
            </w:r>
          </w:p>
        </w:tc>
        <w:tc>
          <w:tcPr>
            <w:tcW w:w="4075" w:type="dxa"/>
            <w:shd w:val="clear" w:color="auto" w:fill="auto"/>
            <w:tcMar>
              <w:top w:w="10" w:type="dxa"/>
              <w:left w:w="10" w:type="dxa"/>
              <w:right w:w="10" w:type="dxa"/>
            </w:tcMar>
            <w:vAlign w:val="center"/>
          </w:tcPr>
          <w:p w14:paraId="38E4A6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176626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CC6BA3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247BF9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F850AC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D3A7393">
            <w:pPr>
              <w:jc w:val="center"/>
              <w:rPr>
                <w:rFonts w:hint="default" w:ascii="仿宋_GB2312" w:hAnsi="宋体" w:eastAsia="仿宋_GB2312" w:cs="仿宋_GB2312"/>
                <w:i w:val="0"/>
                <w:iCs w:val="0"/>
                <w:strike w:val="0"/>
                <w:dstrike w:val="0"/>
                <w:color w:val="auto"/>
                <w:sz w:val="21"/>
                <w:szCs w:val="21"/>
                <w:u w:val="none"/>
              </w:rPr>
            </w:pPr>
          </w:p>
        </w:tc>
      </w:tr>
      <w:tr w14:paraId="3E4C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71C04A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133 </w:t>
            </w:r>
          </w:p>
        </w:tc>
        <w:tc>
          <w:tcPr>
            <w:tcW w:w="775" w:type="dxa"/>
            <w:shd w:val="clear" w:color="auto" w:fill="auto"/>
            <w:tcMar>
              <w:top w:w="10" w:type="dxa"/>
              <w:left w:w="10" w:type="dxa"/>
              <w:right w:w="10" w:type="dxa"/>
            </w:tcMar>
            <w:vAlign w:val="center"/>
          </w:tcPr>
          <w:p w14:paraId="36D8C67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14DE3E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对在水文监测环境保护范围内从事种植高秆作物、堆放物料、修建建筑物、停靠船只、取土挖砂、从事养殖等禁止性行为的行政处罚</w:t>
            </w:r>
          </w:p>
        </w:tc>
        <w:tc>
          <w:tcPr>
            <w:tcW w:w="548" w:type="dxa"/>
            <w:shd w:val="clear" w:color="auto" w:fill="auto"/>
            <w:tcMar>
              <w:top w:w="10" w:type="dxa"/>
              <w:left w:w="10" w:type="dxa"/>
              <w:right w:w="10" w:type="dxa"/>
            </w:tcMar>
            <w:vAlign w:val="center"/>
          </w:tcPr>
          <w:p w14:paraId="0BA9138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2EBF65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61796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0449495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1.【行政法规】《中华人民共和国水文条例》（2007年国务院令第496号发布，2017年第三次修订）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第三十二条 禁止在水文监测环境保护范围内从事下列活动：（一）种植高秆作物、堆放物料、修建建筑物、停靠船只；（二）取土、挖砂、采石、淘金、爆破和倾倒废弃物；（三）在监测断面取水、排污或者在过河设备、气象观测场、监测断面的上空架设线路；（四）其他对水文监测有影响的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第四十二条 违反本条例规定，从事本条例第三十二条所列活动的，责令停止违法行为，限期恢复原状或者采取其他补救措施，可以处1万元以下罚款；构成违反治安管理行为的，依法给予治安管理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本条例规定的行政处罚，由县级以上人民政府水行政主管部门或者流域管理机构依据职权决定。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2.【部门规章】《水文监测环境和设施保护办法》（2011年水利部令第43号发布，2015年修正）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第六条 禁止在水文监测环境保护范围内从事下列活动：（一）种植树木、高秆作物，堆放物料，修建建筑物，停靠船只；（二）取土、挖砂、采石、淘金、爆破、倾倒废弃物；（三）在监测断面取水、排污，在过河设备、气象观测场、监测断面的上空架设线路；（四）埋设管线，设置障碍物，设置渔具、锚锭、锚链，在水尺（桩）上栓系牲畜；（五）网箱养殖，水生植物种植，烧荒、烧窑、熏肥；（六）其他危害水文监测设施安全、干扰水文监测设施运行、影响水文监测结果的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第十八条 违反本办法第六条、第七条、第九条规定的，分别依照《中华人民共和国水文条例》第四十三条、第四十二条和第三十七条的规定给予处罚。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3.【地方性法规】《广西壮族自治区水文条例》（2007年自治区第十届人民代表大会常务委员会第二十九次会议通过，2024年第二次修正）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第三十三条 禁止在水文监测环境保护范围的水域内从事养殖等影响水文监测的活动。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违反本条例第三十三条规定，在水文监测环境保护范围内从事养殖等影响水文监测的活动的，由县级以上人民政府水行政主管部门责令停止违法行为，逾期不停止的，可以处一万元以下罚款。</w:t>
            </w:r>
          </w:p>
        </w:tc>
        <w:tc>
          <w:tcPr>
            <w:tcW w:w="4075" w:type="dxa"/>
            <w:shd w:val="clear" w:color="auto" w:fill="auto"/>
            <w:tcMar>
              <w:top w:w="10" w:type="dxa"/>
              <w:left w:w="10" w:type="dxa"/>
              <w:right w:w="10" w:type="dxa"/>
            </w:tcMar>
            <w:vAlign w:val="center"/>
          </w:tcPr>
          <w:p w14:paraId="4A9F963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5A6102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B9D364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E5C2BF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99BC14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A15C721">
            <w:pPr>
              <w:jc w:val="center"/>
              <w:rPr>
                <w:rFonts w:hint="default" w:ascii="仿宋_GB2312" w:hAnsi="宋体" w:eastAsia="仿宋_GB2312" w:cs="仿宋_GB2312"/>
                <w:i w:val="0"/>
                <w:iCs w:val="0"/>
                <w:strike w:val="0"/>
                <w:dstrike w:val="0"/>
                <w:color w:val="auto"/>
                <w:sz w:val="21"/>
                <w:szCs w:val="21"/>
                <w:u w:val="none"/>
              </w:rPr>
            </w:pPr>
          </w:p>
        </w:tc>
      </w:tr>
      <w:tr w14:paraId="504D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877C23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134 </w:t>
            </w:r>
          </w:p>
        </w:tc>
        <w:tc>
          <w:tcPr>
            <w:tcW w:w="775" w:type="dxa"/>
            <w:shd w:val="clear" w:color="auto" w:fill="auto"/>
            <w:tcMar>
              <w:top w:w="10" w:type="dxa"/>
              <w:left w:w="10" w:type="dxa"/>
              <w:right w:w="10" w:type="dxa"/>
            </w:tcMar>
            <w:vAlign w:val="center"/>
          </w:tcPr>
          <w:p w14:paraId="74C2E07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5F7D1D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对侵占、毁坏水文监测设施或者未经批准擅自移动、擅自使用水文监测设施行为的行政处罚</w:t>
            </w:r>
          </w:p>
        </w:tc>
        <w:tc>
          <w:tcPr>
            <w:tcW w:w="548" w:type="dxa"/>
            <w:shd w:val="clear" w:color="auto" w:fill="auto"/>
            <w:tcMar>
              <w:top w:w="10" w:type="dxa"/>
              <w:left w:w="10" w:type="dxa"/>
              <w:right w:w="10" w:type="dxa"/>
            </w:tcMar>
            <w:vAlign w:val="center"/>
          </w:tcPr>
          <w:p w14:paraId="02AABE7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ABFB22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E5A390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553D78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1.【行政法规】《中华人民共和国水文条例》（2007年国务院令第496号发布，2017年第三次修订）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第四十一条 违反本条例规定，侵占、毁坏水文监测设施或者未经批准擅自移动、擅自使用水文监测设施的，责令停止违法行为，限期恢复原状或者采取其他补救措施，可以处5万元以下罚款；构成违反治安管理行为的，依法给予治安管理处罚；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本条例规定的行政处罚，由县级以上人民政府水行政主管部门或者流域管理机构依据职权决定。</w:t>
            </w:r>
          </w:p>
        </w:tc>
        <w:tc>
          <w:tcPr>
            <w:tcW w:w="4075" w:type="dxa"/>
            <w:shd w:val="clear" w:color="auto" w:fill="auto"/>
            <w:tcMar>
              <w:top w:w="10" w:type="dxa"/>
              <w:left w:w="10" w:type="dxa"/>
              <w:right w:w="10" w:type="dxa"/>
            </w:tcMar>
            <w:vAlign w:val="center"/>
          </w:tcPr>
          <w:p w14:paraId="2652C7C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8.其他法律法规规章文件规定应履行的责任。（河长制工作科）</w:t>
            </w:r>
          </w:p>
        </w:tc>
        <w:tc>
          <w:tcPr>
            <w:tcW w:w="8460" w:type="dxa"/>
            <w:shd w:val="clear" w:color="auto" w:fill="auto"/>
            <w:tcMar>
              <w:top w:w="10" w:type="dxa"/>
              <w:left w:w="10" w:type="dxa"/>
              <w:right w:w="10" w:type="dxa"/>
            </w:tcMar>
            <w:vAlign w:val="center"/>
          </w:tcPr>
          <w:p w14:paraId="04ED8D2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6A981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2A144C2">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DBE087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1D2AF04">
            <w:pPr>
              <w:jc w:val="center"/>
              <w:rPr>
                <w:rFonts w:hint="default" w:ascii="仿宋_GB2312" w:hAnsi="宋体" w:eastAsia="仿宋_GB2312" w:cs="仿宋_GB2312"/>
                <w:i w:val="0"/>
                <w:iCs w:val="0"/>
                <w:strike w:val="0"/>
                <w:dstrike w:val="0"/>
                <w:color w:val="auto"/>
                <w:sz w:val="21"/>
                <w:szCs w:val="21"/>
                <w:u w:val="none"/>
              </w:rPr>
            </w:pPr>
          </w:p>
        </w:tc>
      </w:tr>
      <w:tr w14:paraId="27A0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FA2E74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135 </w:t>
            </w:r>
          </w:p>
        </w:tc>
        <w:tc>
          <w:tcPr>
            <w:tcW w:w="775" w:type="dxa"/>
            <w:shd w:val="clear" w:color="auto" w:fill="auto"/>
            <w:tcMar>
              <w:top w:w="10" w:type="dxa"/>
              <w:left w:w="10" w:type="dxa"/>
              <w:right w:w="10" w:type="dxa"/>
            </w:tcMar>
            <w:vAlign w:val="center"/>
          </w:tcPr>
          <w:p w14:paraId="36B4B88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03DC9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对拒不汇交水文监测资料，非法向社会传播水文情报预报造成严重经济损失和不良影响行为的行政处罚</w:t>
            </w:r>
          </w:p>
        </w:tc>
        <w:tc>
          <w:tcPr>
            <w:tcW w:w="548" w:type="dxa"/>
            <w:shd w:val="clear" w:color="auto" w:fill="auto"/>
            <w:tcMar>
              <w:top w:w="10" w:type="dxa"/>
              <w:left w:w="10" w:type="dxa"/>
              <w:right w:w="10" w:type="dxa"/>
            </w:tcMar>
            <w:vAlign w:val="center"/>
          </w:tcPr>
          <w:p w14:paraId="6DC6721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05CCC5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9AE838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2DB90AC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1.【行政法规】《中华人民共和国水文条例》（2007年国务院令第496号发布，2017年第三次修订）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第四十条 违反本条例规定，有下列行为之一的，责令停止违法行为，处1万元以上5万元以下罚款：（一）拒不汇交水文监测资料的；（二）非法向社会传播水文情报预报，造成严重经济损失和不良影响的。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本条例规定的行政处罚，由县级以上人民政府水行政主管部门或者流域管理机构依据职权决定。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2.【部门规章】《水文监测资料汇交管理办法》（2020年水利部令第51号）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第十六条 汇交单位应当按照规定的时间汇交水文监测资料。未按照规定时间汇交，或者汇交的水文监测资料未通过核验的，应当限期补交；逾期不补交的，视为不汇交水文监测资料。</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拒不汇交水文监测资料的，依照《中华人民共和国水文条例》第四十条的规定追究法律责任。</w:t>
            </w:r>
          </w:p>
        </w:tc>
        <w:tc>
          <w:tcPr>
            <w:tcW w:w="4075" w:type="dxa"/>
            <w:shd w:val="clear" w:color="auto" w:fill="auto"/>
            <w:tcMar>
              <w:top w:w="10" w:type="dxa"/>
              <w:left w:w="10" w:type="dxa"/>
              <w:right w:w="10" w:type="dxa"/>
            </w:tcMar>
            <w:vAlign w:val="center"/>
          </w:tcPr>
          <w:p w14:paraId="75C6E17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73ABA2E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7D88C44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33A143E">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19A78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A9D6BF2">
            <w:pPr>
              <w:jc w:val="center"/>
              <w:rPr>
                <w:rFonts w:hint="default" w:ascii="仿宋_GB2312" w:hAnsi="宋体" w:eastAsia="仿宋_GB2312" w:cs="仿宋_GB2312"/>
                <w:i w:val="0"/>
                <w:iCs w:val="0"/>
                <w:strike w:val="0"/>
                <w:dstrike w:val="0"/>
                <w:color w:val="auto"/>
                <w:sz w:val="21"/>
                <w:szCs w:val="21"/>
                <w:u w:val="none"/>
              </w:rPr>
            </w:pPr>
          </w:p>
        </w:tc>
      </w:tr>
      <w:tr w14:paraId="4701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50E5C7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136 </w:t>
            </w:r>
          </w:p>
        </w:tc>
        <w:tc>
          <w:tcPr>
            <w:tcW w:w="775" w:type="dxa"/>
            <w:shd w:val="clear" w:color="auto" w:fill="auto"/>
            <w:tcMar>
              <w:top w:w="10" w:type="dxa"/>
              <w:left w:w="10" w:type="dxa"/>
              <w:right w:w="10" w:type="dxa"/>
            </w:tcMar>
            <w:vAlign w:val="center"/>
          </w:tcPr>
          <w:p w14:paraId="168D5B2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37E7AB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对建设项目的节水设施没有建成或者没有达到国家规定的要求擅自投入使用行为的行政处罚</w:t>
            </w:r>
          </w:p>
        </w:tc>
        <w:tc>
          <w:tcPr>
            <w:tcW w:w="548" w:type="dxa"/>
            <w:shd w:val="clear" w:color="auto" w:fill="auto"/>
            <w:tcMar>
              <w:top w:w="10" w:type="dxa"/>
              <w:left w:w="10" w:type="dxa"/>
              <w:right w:w="10" w:type="dxa"/>
            </w:tcMar>
            <w:vAlign w:val="center"/>
          </w:tcPr>
          <w:p w14:paraId="5F2C3102">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D01FAB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7F78B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7AE4548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第七十一条 建设项目的节水设施没有建成或者没有达到国家规定的要求，擅自投入使用的，由县级以上人民政府有关部门或者流域管理机构依据职权，责令停止使用，限期改正，处五万元以上十万元以下的罚款。</w:t>
            </w:r>
          </w:p>
        </w:tc>
        <w:tc>
          <w:tcPr>
            <w:tcW w:w="4075" w:type="dxa"/>
            <w:shd w:val="clear" w:color="auto" w:fill="auto"/>
            <w:tcMar>
              <w:top w:w="10" w:type="dxa"/>
              <w:left w:w="10" w:type="dxa"/>
              <w:right w:w="10" w:type="dxa"/>
            </w:tcMar>
            <w:vAlign w:val="center"/>
          </w:tcPr>
          <w:p w14:paraId="74383B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2820D00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51AAC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E9DF503">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343B86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3CF2F0D">
            <w:pPr>
              <w:jc w:val="center"/>
              <w:rPr>
                <w:rFonts w:hint="default" w:ascii="仿宋_GB2312" w:hAnsi="宋体" w:eastAsia="仿宋_GB2312" w:cs="仿宋_GB2312"/>
                <w:i w:val="0"/>
                <w:iCs w:val="0"/>
                <w:strike w:val="0"/>
                <w:dstrike w:val="0"/>
                <w:color w:val="auto"/>
                <w:sz w:val="21"/>
                <w:szCs w:val="21"/>
                <w:u w:val="none"/>
              </w:rPr>
            </w:pPr>
          </w:p>
        </w:tc>
      </w:tr>
      <w:tr w14:paraId="2793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D43148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137 </w:t>
            </w:r>
          </w:p>
        </w:tc>
        <w:tc>
          <w:tcPr>
            <w:tcW w:w="775" w:type="dxa"/>
            <w:shd w:val="clear" w:color="auto" w:fill="auto"/>
            <w:tcMar>
              <w:top w:w="10" w:type="dxa"/>
              <w:left w:w="10" w:type="dxa"/>
              <w:right w:w="10" w:type="dxa"/>
            </w:tcMar>
            <w:vAlign w:val="center"/>
          </w:tcPr>
          <w:p w14:paraId="16E3B2D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4347E2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对擅自停止使用节水设施行为的行政处罚</w:t>
            </w:r>
          </w:p>
        </w:tc>
        <w:tc>
          <w:tcPr>
            <w:tcW w:w="548" w:type="dxa"/>
            <w:shd w:val="clear" w:color="auto" w:fill="auto"/>
            <w:tcMar>
              <w:top w:w="10" w:type="dxa"/>
              <w:left w:w="10" w:type="dxa"/>
              <w:right w:w="10" w:type="dxa"/>
            </w:tcMar>
            <w:vAlign w:val="center"/>
          </w:tcPr>
          <w:p w14:paraId="515C7404">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CCF206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EF72F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6E6397F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1.【部门规章】《取水许可管理办法》（2008年水利部令第34号发布，2017年水利部令第49号修正）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取水单位或者个人违反本办法规定，有下列行为之一的，由取水审批机关责令其限期改正，并可处1000元以下罚款：（一）擅自停止使用节水设施的；</w:t>
            </w:r>
          </w:p>
        </w:tc>
        <w:tc>
          <w:tcPr>
            <w:tcW w:w="4075" w:type="dxa"/>
            <w:shd w:val="clear" w:color="auto" w:fill="auto"/>
            <w:tcMar>
              <w:top w:w="10" w:type="dxa"/>
              <w:left w:w="10" w:type="dxa"/>
              <w:right w:w="10" w:type="dxa"/>
            </w:tcMar>
            <w:vAlign w:val="center"/>
          </w:tcPr>
          <w:p w14:paraId="03054C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440C955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89E658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017B4C4">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9AF554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59CD5DB">
            <w:pPr>
              <w:jc w:val="center"/>
              <w:rPr>
                <w:rFonts w:hint="default" w:ascii="仿宋_GB2312" w:hAnsi="宋体" w:eastAsia="仿宋_GB2312" w:cs="仿宋_GB2312"/>
                <w:i w:val="0"/>
                <w:iCs w:val="0"/>
                <w:strike w:val="0"/>
                <w:dstrike w:val="0"/>
                <w:color w:val="auto"/>
                <w:sz w:val="21"/>
                <w:szCs w:val="21"/>
                <w:u w:val="none"/>
              </w:rPr>
            </w:pPr>
          </w:p>
        </w:tc>
      </w:tr>
      <w:tr w14:paraId="6C23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8D7CFB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138 </w:t>
            </w:r>
          </w:p>
        </w:tc>
        <w:tc>
          <w:tcPr>
            <w:tcW w:w="775" w:type="dxa"/>
            <w:shd w:val="clear" w:color="auto" w:fill="auto"/>
            <w:tcMar>
              <w:top w:w="10" w:type="dxa"/>
              <w:left w:w="10" w:type="dxa"/>
              <w:right w:w="10" w:type="dxa"/>
            </w:tcMar>
            <w:vAlign w:val="center"/>
          </w:tcPr>
          <w:p w14:paraId="44535A4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64B83D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对侵占、损毁、擅自移动用水计量设施，或者干扰用水计量行为的行政处罚</w:t>
            </w:r>
          </w:p>
        </w:tc>
        <w:tc>
          <w:tcPr>
            <w:tcW w:w="548" w:type="dxa"/>
            <w:shd w:val="clear" w:color="auto" w:fill="auto"/>
            <w:tcMar>
              <w:top w:w="10" w:type="dxa"/>
              <w:left w:w="10" w:type="dxa"/>
              <w:right w:w="10" w:type="dxa"/>
            </w:tcMar>
            <w:vAlign w:val="center"/>
          </w:tcPr>
          <w:p w14:paraId="03F32F1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972F5D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0C395C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2CCE24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1.【行政法规】《节约用水条例》（2024年国务院令第776号）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第四十六条 侵占、损毁、擅自移动用水计量设施，或者干扰用水计量的，由县级以上地方人民政府水行政、住房城乡建设主管部门或者流域管理机构责令停止违法行为，限期采取补救措施，处1万元以上10万元以下的罚款；造成损失的，依法承担赔偿责任。</w:t>
            </w:r>
          </w:p>
        </w:tc>
        <w:tc>
          <w:tcPr>
            <w:tcW w:w="4075" w:type="dxa"/>
            <w:shd w:val="clear" w:color="auto" w:fill="auto"/>
            <w:tcMar>
              <w:top w:w="10" w:type="dxa"/>
              <w:left w:w="10" w:type="dxa"/>
              <w:right w:w="10" w:type="dxa"/>
            </w:tcMar>
            <w:vAlign w:val="center"/>
          </w:tcPr>
          <w:p w14:paraId="2091A1B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602921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300631A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C152B8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7670B8B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6B65AC1">
            <w:pPr>
              <w:jc w:val="center"/>
              <w:rPr>
                <w:rFonts w:hint="default" w:ascii="仿宋_GB2312" w:hAnsi="宋体" w:eastAsia="仿宋_GB2312" w:cs="仿宋_GB2312"/>
                <w:i w:val="0"/>
                <w:iCs w:val="0"/>
                <w:strike w:val="0"/>
                <w:dstrike w:val="0"/>
                <w:color w:val="auto"/>
                <w:sz w:val="21"/>
                <w:szCs w:val="21"/>
                <w:u w:val="none"/>
              </w:rPr>
            </w:pPr>
          </w:p>
        </w:tc>
      </w:tr>
      <w:tr w14:paraId="2521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81E409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139 </w:t>
            </w:r>
          </w:p>
        </w:tc>
        <w:tc>
          <w:tcPr>
            <w:tcW w:w="775" w:type="dxa"/>
            <w:shd w:val="clear" w:color="auto" w:fill="auto"/>
            <w:tcMar>
              <w:top w:w="10" w:type="dxa"/>
              <w:left w:w="10" w:type="dxa"/>
              <w:right w:w="10" w:type="dxa"/>
            </w:tcMar>
            <w:vAlign w:val="center"/>
          </w:tcPr>
          <w:p w14:paraId="3184E6D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024988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对高耗水工业企业用水水平超过用水定额，未在规定的期限内进行节水改造行为的行政处罚</w:t>
            </w:r>
          </w:p>
        </w:tc>
        <w:tc>
          <w:tcPr>
            <w:tcW w:w="548" w:type="dxa"/>
            <w:shd w:val="clear" w:color="auto" w:fill="auto"/>
            <w:tcMar>
              <w:top w:w="10" w:type="dxa"/>
              <w:left w:w="10" w:type="dxa"/>
              <w:right w:w="10" w:type="dxa"/>
            </w:tcMar>
            <w:vAlign w:val="center"/>
          </w:tcPr>
          <w:p w14:paraId="4E9A061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5C6817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62835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3824552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1.【行政法规】《节约用水条例》（2024年国务院令第776号）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第四十八条 高耗水工业企业用水水平超过用水定额，未在规定的期限内进行节水改造的，由县级以上地方人民政府水行政主管部门或者流域管理机构责令改正，可以处10万元以下的罚款；拒不改正的，处10万元以上50万元以下的罚款，情节严重的，采取限制用水措施或者吊销其取水许可证。</w:t>
            </w:r>
          </w:p>
        </w:tc>
        <w:tc>
          <w:tcPr>
            <w:tcW w:w="4075" w:type="dxa"/>
            <w:shd w:val="clear" w:color="auto" w:fill="auto"/>
            <w:tcMar>
              <w:top w:w="10" w:type="dxa"/>
              <w:left w:w="10" w:type="dxa"/>
              <w:right w:w="10" w:type="dxa"/>
            </w:tcMar>
            <w:vAlign w:val="center"/>
          </w:tcPr>
          <w:p w14:paraId="3006C0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7BA52B0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43111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5D01826">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0CD59B0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B0C598A">
            <w:pPr>
              <w:jc w:val="center"/>
              <w:rPr>
                <w:rFonts w:hint="default" w:ascii="仿宋_GB2312" w:hAnsi="宋体" w:eastAsia="仿宋_GB2312" w:cs="仿宋_GB2312"/>
                <w:i w:val="0"/>
                <w:iCs w:val="0"/>
                <w:strike w:val="0"/>
                <w:dstrike w:val="0"/>
                <w:color w:val="auto"/>
                <w:sz w:val="21"/>
                <w:szCs w:val="21"/>
                <w:u w:val="none"/>
              </w:rPr>
            </w:pPr>
          </w:p>
        </w:tc>
      </w:tr>
      <w:tr w14:paraId="532D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81B7E9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140 </w:t>
            </w:r>
          </w:p>
        </w:tc>
        <w:tc>
          <w:tcPr>
            <w:tcW w:w="775" w:type="dxa"/>
            <w:shd w:val="clear" w:color="auto" w:fill="auto"/>
            <w:tcMar>
              <w:top w:w="10" w:type="dxa"/>
              <w:left w:w="10" w:type="dxa"/>
              <w:right w:w="10" w:type="dxa"/>
            </w:tcMar>
            <w:vAlign w:val="center"/>
          </w:tcPr>
          <w:p w14:paraId="761D3F3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65E8E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对工业企业的生产设备冷却水、空调冷却水、锅炉冷凝水未回收利用行为的行政处罚</w:t>
            </w:r>
          </w:p>
        </w:tc>
        <w:tc>
          <w:tcPr>
            <w:tcW w:w="548" w:type="dxa"/>
            <w:shd w:val="clear" w:color="auto" w:fill="auto"/>
            <w:tcMar>
              <w:top w:w="10" w:type="dxa"/>
              <w:left w:w="10" w:type="dxa"/>
              <w:right w:w="10" w:type="dxa"/>
            </w:tcMar>
            <w:vAlign w:val="center"/>
          </w:tcPr>
          <w:p w14:paraId="4AC38F1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71EBEC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7BD130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6C9FC9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1.【行政法规】《节约用水条例》（2024年国务院令第776号）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工业企业的生产设备冷却水、空调冷却水、锅炉冷凝水未回收利用的，由县级以上地方人民政府水行政主管部门责令改正，可以处5万元以下的罚款；拒不改正的，处5万元以上10万元以下的罚款。</w:t>
            </w:r>
          </w:p>
        </w:tc>
        <w:tc>
          <w:tcPr>
            <w:tcW w:w="4075" w:type="dxa"/>
            <w:shd w:val="clear" w:color="auto" w:fill="auto"/>
            <w:tcMar>
              <w:top w:w="10" w:type="dxa"/>
              <w:left w:w="10" w:type="dxa"/>
              <w:right w:w="10" w:type="dxa"/>
            </w:tcMar>
            <w:vAlign w:val="center"/>
          </w:tcPr>
          <w:p w14:paraId="06CE52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8.其他法律法规规章文件规定应履行的责任。（水土保持与水资源科）</w:t>
            </w:r>
          </w:p>
        </w:tc>
        <w:tc>
          <w:tcPr>
            <w:tcW w:w="8460" w:type="dxa"/>
            <w:shd w:val="clear" w:color="auto" w:fill="auto"/>
            <w:tcMar>
              <w:top w:w="10" w:type="dxa"/>
              <w:left w:w="10" w:type="dxa"/>
              <w:right w:w="10" w:type="dxa"/>
            </w:tcMar>
            <w:vAlign w:val="center"/>
          </w:tcPr>
          <w:p w14:paraId="3844D2A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64FF16F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754B3DA">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F4E926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DBDF7E8">
            <w:pPr>
              <w:jc w:val="center"/>
              <w:rPr>
                <w:rFonts w:hint="default" w:ascii="仿宋_GB2312" w:hAnsi="宋体" w:eastAsia="仿宋_GB2312" w:cs="仿宋_GB2312"/>
                <w:i w:val="0"/>
                <w:iCs w:val="0"/>
                <w:strike w:val="0"/>
                <w:dstrike w:val="0"/>
                <w:color w:val="auto"/>
                <w:sz w:val="21"/>
                <w:szCs w:val="21"/>
                <w:u w:val="none"/>
              </w:rPr>
            </w:pPr>
          </w:p>
        </w:tc>
      </w:tr>
      <w:tr w14:paraId="36C0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4C71EF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141 </w:t>
            </w:r>
          </w:p>
        </w:tc>
        <w:tc>
          <w:tcPr>
            <w:tcW w:w="775" w:type="dxa"/>
            <w:shd w:val="clear" w:color="auto" w:fill="auto"/>
            <w:tcMar>
              <w:top w:w="10" w:type="dxa"/>
              <w:left w:w="10" w:type="dxa"/>
              <w:right w:w="10" w:type="dxa"/>
            </w:tcMar>
            <w:vAlign w:val="center"/>
          </w:tcPr>
          <w:p w14:paraId="14D4450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5016B9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对水利领域擅自以注册建设工程勘察、设计人员的名义从事建设工程勘察、设计活动行为的行政处罚</w:t>
            </w:r>
          </w:p>
        </w:tc>
        <w:tc>
          <w:tcPr>
            <w:tcW w:w="548" w:type="dxa"/>
            <w:shd w:val="clear" w:color="auto" w:fill="auto"/>
            <w:tcMar>
              <w:top w:w="10" w:type="dxa"/>
              <w:left w:w="10" w:type="dxa"/>
              <w:right w:w="10" w:type="dxa"/>
            </w:tcMar>
            <w:vAlign w:val="center"/>
          </w:tcPr>
          <w:p w14:paraId="1CA3BF8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4B7E2E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B512A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739F79D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4075" w:type="dxa"/>
            <w:shd w:val="clear" w:color="auto" w:fill="auto"/>
            <w:tcMar>
              <w:top w:w="10" w:type="dxa"/>
              <w:left w:w="10" w:type="dxa"/>
              <w:right w:w="10" w:type="dxa"/>
            </w:tcMar>
            <w:vAlign w:val="center"/>
          </w:tcPr>
          <w:p w14:paraId="7BE418C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024205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0E5C5C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5813B7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C91A2E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DF0C164">
            <w:pPr>
              <w:jc w:val="center"/>
              <w:rPr>
                <w:rFonts w:hint="default" w:ascii="仿宋_GB2312" w:hAnsi="宋体" w:eastAsia="仿宋_GB2312" w:cs="仿宋_GB2312"/>
                <w:i w:val="0"/>
                <w:iCs w:val="0"/>
                <w:strike w:val="0"/>
                <w:dstrike w:val="0"/>
                <w:color w:val="auto"/>
                <w:sz w:val="21"/>
                <w:szCs w:val="21"/>
                <w:u w:val="none"/>
              </w:rPr>
            </w:pPr>
          </w:p>
        </w:tc>
      </w:tr>
      <w:tr w14:paraId="1B15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93B023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142 </w:t>
            </w:r>
          </w:p>
        </w:tc>
        <w:tc>
          <w:tcPr>
            <w:tcW w:w="775" w:type="dxa"/>
            <w:shd w:val="clear" w:color="auto" w:fill="auto"/>
            <w:tcMar>
              <w:top w:w="10" w:type="dxa"/>
              <w:left w:w="10" w:type="dxa"/>
              <w:right w:w="10" w:type="dxa"/>
            </w:tcMar>
            <w:vAlign w:val="center"/>
          </w:tcPr>
          <w:p w14:paraId="61D428D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2685F1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对水利领域工程勘察、设计注册执业人员和其他专业技术人员未受聘于一个建设工程勘察、设计单位或者同时受聘于两个以上建设工程勘察、设计单位，从事建设工程勘察、设计活动行为的行政处罚</w:t>
            </w:r>
          </w:p>
        </w:tc>
        <w:tc>
          <w:tcPr>
            <w:tcW w:w="548" w:type="dxa"/>
            <w:shd w:val="clear" w:color="auto" w:fill="auto"/>
            <w:tcMar>
              <w:top w:w="10" w:type="dxa"/>
              <w:left w:w="10" w:type="dxa"/>
              <w:right w:w="10" w:type="dxa"/>
            </w:tcMar>
            <w:vAlign w:val="center"/>
          </w:tcPr>
          <w:p w14:paraId="0685FF5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13EC2E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FD340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工程建设科 </w:t>
            </w:r>
          </w:p>
        </w:tc>
        <w:tc>
          <w:tcPr>
            <w:tcW w:w="2789" w:type="dxa"/>
            <w:shd w:val="clear" w:color="auto" w:fill="auto"/>
            <w:tcMar>
              <w:top w:w="10" w:type="dxa"/>
              <w:left w:w="10" w:type="dxa"/>
              <w:right w:w="10" w:type="dxa"/>
            </w:tcMar>
            <w:vAlign w:val="center"/>
          </w:tcPr>
          <w:p w14:paraId="64428C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w:t>
            </w:r>
          </w:p>
        </w:tc>
        <w:tc>
          <w:tcPr>
            <w:tcW w:w="4075" w:type="dxa"/>
            <w:shd w:val="clear" w:color="auto" w:fill="auto"/>
            <w:tcMar>
              <w:top w:w="10" w:type="dxa"/>
              <w:left w:w="10" w:type="dxa"/>
              <w:right w:w="10" w:type="dxa"/>
            </w:tcMar>
            <w:vAlign w:val="center"/>
          </w:tcPr>
          <w:p w14:paraId="1C4AD3E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7C3038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65F09E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E6D314B">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1ABBC0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C4995BE">
            <w:pPr>
              <w:jc w:val="center"/>
              <w:rPr>
                <w:rFonts w:hint="default" w:ascii="仿宋_GB2312" w:hAnsi="宋体" w:eastAsia="仿宋_GB2312" w:cs="仿宋_GB2312"/>
                <w:i w:val="0"/>
                <w:iCs w:val="0"/>
                <w:strike w:val="0"/>
                <w:dstrike w:val="0"/>
                <w:color w:val="auto"/>
                <w:sz w:val="21"/>
                <w:szCs w:val="21"/>
                <w:u w:val="none"/>
              </w:rPr>
            </w:pPr>
          </w:p>
        </w:tc>
      </w:tr>
      <w:tr w14:paraId="26C1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6D64AB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143 </w:t>
            </w:r>
          </w:p>
        </w:tc>
        <w:tc>
          <w:tcPr>
            <w:tcW w:w="775" w:type="dxa"/>
            <w:shd w:val="clear" w:color="auto" w:fill="auto"/>
            <w:tcMar>
              <w:top w:w="10" w:type="dxa"/>
              <w:left w:w="10" w:type="dxa"/>
              <w:right w:w="10" w:type="dxa"/>
            </w:tcMar>
            <w:vAlign w:val="center"/>
          </w:tcPr>
          <w:p w14:paraId="29579BE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6590D12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对水利领域注册工程师以个人名义承接业务等行为的行政处罚</w:t>
            </w:r>
          </w:p>
        </w:tc>
        <w:tc>
          <w:tcPr>
            <w:tcW w:w="548" w:type="dxa"/>
            <w:shd w:val="clear" w:color="auto" w:fill="auto"/>
            <w:tcMar>
              <w:top w:w="10" w:type="dxa"/>
              <w:left w:w="10" w:type="dxa"/>
              <w:right w:w="10" w:type="dxa"/>
            </w:tcMar>
            <w:vAlign w:val="center"/>
          </w:tcPr>
          <w:p w14:paraId="604D3103">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C3348E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DF063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5ECE36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1.【部门规章】《勘察设计注册工程师管理规定》（2005年建设部令第137号发布，2016年9月13日住建部令第32号修改）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第三十条 注册工程师在执业活动中有下列行为之一的，由县级以上人民政府住房城乡建设主管部门或者有关部门予以警告，责令其改正，没有违法所得的，处以1万元以下的罚款；有违法所得的，处以违法所得3倍以上但不超过3万元的罚款；造成损失的，应当承担赔偿责任；构成犯罪的，依法追究刑事责任：（一）以个人名义承接业务的；（二）涂改、出租、出借或者以形式非法转让注册证书或者执业印章的；（三）泄露执业中应当保守的秘密并造成严重后果的；（四）超出本专业规定范围或者聘用单位业务范围从事执业活动的；（五）弄虚作假提供执业活动成果的；（六）其它违反法律、法规、规章的行为。</w:t>
            </w:r>
          </w:p>
        </w:tc>
        <w:tc>
          <w:tcPr>
            <w:tcW w:w="4075" w:type="dxa"/>
            <w:shd w:val="clear" w:color="auto" w:fill="auto"/>
            <w:tcMar>
              <w:top w:w="10" w:type="dxa"/>
              <w:left w:w="10" w:type="dxa"/>
              <w:right w:w="10" w:type="dxa"/>
            </w:tcMar>
            <w:vAlign w:val="center"/>
          </w:tcPr>
          <w:p w14:paraId="258C604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485BFA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275638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D7D74FD">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5A13D1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5986B89">
            <w:pPr>
              <w:jc w:val="center"/>
              <w:rPr>
                <w:rFonts w:hint="default" w:ascii="仿宋_GB2312" w:hAnsi="宋体" w:eastAsia="仿宋_GB2312" w:cs="仿宋_GB2312"/>
                <w:i w:val="0"/>
                <w:iCs w:val="0"/>
                <w:strike w:val="0"/>
                <w:dstrike w:val="0"/>
                <w:color w:val="auto"/>
                <w:sz w:val="21"/>
                <w:szCs w:val="21"/>
                <w:u w:val="none"/>
              </w:rPr>
            </w:pPr>
          </w:p>
        </w:tc>
      </w:tr>
      <w:tr w14:paraId="361F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1A7735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144 </w:t>
            </w:r>
          </w:p>
        </w:tc>
        <w:tc>
          <w:tcPr>
            <w:tcW w:w="775" w:type="dxa"/>
            <w:shd w:val="clear" w:color="auto" w:fill="auto"/>
            <w:tcMar>
              <w:top w:w="10" w:type="dxa"/>
              <w:left w:w="10" w:type="dxa"/>
              <w:right w:w="10" w:type="dxa"/>
            </w:tcMar>
            <w:vAlign w:val="center"/>
          </w:tcPr>
          <w:p w14:paraId="0785C52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0BEB5C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对水利领域工程勘察企业使用不满足相关规定的勘察仪器、设备，关键岗位作业人员未接受专业培训等行为的行政处罚</w:t>
            </w:r>
          </w:p>
        </w:tc>
        <w:tc>
          <w:tcPr>
            <w:tcW w:w="548" w:type="dxa"/>
            <w:shd w:val="clear" w:color="auto" w:fill="auto"/>
            <w:tcMar>
              <w:top w:w="10" w:type="dxa"/>
              <w:left w:w="10" w:type="dxa"/>
              <w:right w:w="10" w:type="dxa"/>
            </w:tcMar>
            <w:vAlign w:val="center"/>
          </w:tcPr>
          <w:p w14:paraId="26926A9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DFF7C4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B71BAB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1C3513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1.【部门规章】《建设工程勘察质量管理办法》（2002年建设部令第115号发布，2021年住房和城乡建设部令第53号修改）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第二十四条 违反本办法规定，工程勘察企业有下列行为之一的，由工程勘察质量监督部门责令改正，处1万元以上3万元以下的罚款：（一）使用的勘察仪器、设备不满足相关规定；（二）司钻员、描述员、土工试验员等关键岗位作业人员未接受专业培训；（三）未按规定参加建设单位组织的勘察技术交底或者验槽；（四）原始记录弄虚作假；（五）未将钻探、取样、原位测试、室内试验等主要过程的影像资料留存备查；（六）未按规定及时将工程勘察文件和勘探、试验、测试原始记录及成果、质量安全管理记录归档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依照本办法规定，给予建设单位、勘察企业罚款处罚的，由工程勘察质量监督部门对建设单位、勘察企业的法定代表人和其他直接责任人员处以企业罚款数额的5%以上10%以下的罚款。</w:t>
            </w:r>
          </w:p>
        </w:tc>
        <w:tc>
          <w:tcPr>
            <w:tcW w:w="4075" w:type="dxa"/>
            <w:shd w:val="clear" w:color="auto" w:fill="auto"/>
            <w:tcMar>
              <w:top w:w="10" w:type="dxa"/>
              <w:left w:w="10" w:type="dxa"/>
              <w:right w:w="10" w:type="dxa"/>
            </w:tcMar>
            <w:vAlign w:val="center"/>
          </w:tcPr>
          <w:p w14:paraId="69ADFF3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50A1BCA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12BC9C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7855E6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2215D0A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59EAA9D">
            <w:pPr>
              <w:jc w:val="center"/>
              <w:rPr>
                <w:rFonts w:hint="default" w:ascii="仿宋_GB2312" w:hAnsi="宋体" w:eastAsia="仿宋_GB2312" w:cs="仿宋_GB2312"/>
                <w:i w:val="0"/>
                <w:iCs w:val="0"/>
                <w:strike w:val="0"/>
                <w:dstrike w:val="0"/>
                <w:color w:val="auto"/>
                <w:sz w:val="21"/>
                <w:szCs w:val="21"/>
                <w:u w:val="none"/>
              </w:rPr>
            </w:pPr>
          </w:p>
        </w:tc>
      </w:tr>
      <w:tr w14:paraId="3312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48A2534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145 </w:t>
            </w:r>
          </w:p>
        </w:tc>
        <w:tc>
          <w:tcPr>
            <w:tcW w:w="775" w:type="dxa"/>
            <w:shd w:val="clear" w:color="auto" w:fill="auto"/>
            <w:tcMar>
              <w:top w:w="10" w:type="dxa"/>
              <w:left w:w="10" w:type="dxa"/>
              <w:right w:w="10" w:type="dxa"/>
            </w:tcMar>
            <w:vAlign w:val="center"/>
          </w:tcPr>
          <w:p w14:paraId="19EF8FE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行政处罚</w:t>
            </w:r>
          </w:p>
        </w:tc>
        <w:tc>
          <w:tcPr>
            <w:tcW w:w="923" w:type="dxa"/>
            <w:shd w:val="clear" w:color="auto" w:fill="auto"/>
            <w:tcMar>
              <w:top w:w="10" w:type="dxa"/>
              <w:left w:w="10" w:type="dxa"/>
              <w:right w:w="10" w:type="dxa"/>
            </w:tcMar>
            <w:vAlign w:val="center"/>
          </w:tcPr>
          <w:p w14:paraId="73707CA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对水利领域勘察、设计单位未依据项目批准文件，相关规划，国家规定的勘察、设计深度要求编制水利工程勘察、设计文件行为的行政处罚</w:t>
            </w:r>
          </w:p>
        </w:tc>
        <w:tc>
          <w:tcPr>
            <w:tcW w:w="548" w:type="dxa"/>
            <w:shd w:val="clear" w:color="auto" w:fill="auto"/>
            <w:tcMar>
              <w:top w:w="10" w:type="dxa"/>
              <w:left w:w="10" w:type="dxa"/>
              <w:right w:w="10" w:type="dxa"/>
            </w:tcMar>
            <w:vAlign w:val="center"/>
          </w:tcPr>
          <w:p w14:paraId="56E04FB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FD2D4C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3BBE1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工程建设科</w:t>
            </w:r>
          </w:p>
        </w:tc>
        <w:tc>
          <w:tcPr>
            <w:tcW w:w="2789" w:type="dxa"/>
            <w:shd w:val="clear" w:color="auto" w:fill="auto"/>
            <w:tcMar>
              <w:top w:w="10" w:type="dxa"/>
              <w:left w:w="10" w:type="dxa"/>
              <w:right w:w="10" w:type="dxa"/>
            </w:tcMar>
            <w:vAlign w:val="center"/>
          </w:tcPr>
          <w:p w14:paraId="2F88E9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第四十条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2.【部门规章】《水利工程质量管理规定》（2023年1月12日水利部令第52号发布）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 违反本规定，勘察、设计单位未依据项目批准文件，相关规划，国家规定的勘察、设计深度要求编制水利工程勘察、设计文件的，依照《建设工程勘察设计管理条例》第四十条规定，由水行政主管部门或者流域管理机构依据职权责令限期改正；逾期不改正的，处10万元以上30万元以下的罚款；造成损失的，依法承担赔偿责任。</w:t>
            </w:r>
          </w:p>
        </w:tc>
        <w:tc>
          <w:tcPr>
            <w:tcW w:w="4075" w:type="dxa"/>
            <w:shd w:val="clear" w:color="auto" w:fill="auto"/>
            <w:tcMar>
              <w:top w:w="10" w:type="dxa"/>
              <w:left w:w="10" w:type="dxa"/>
              <w:right w:w="10" w:type="dxa"/>
            </w:tcMar>
            <w:vAlign w:val="center"/>
          </w:tcPr>
          <w:p w14:paraId="3CB02A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1.立案阶段责任：在检查中或接到举报、控告等，发现违反水利相关法律法规的行为，应及时制止，并予以审查，决定是否立案。（工程建设科）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调查阶段责任：水行政主管部门对非法行为涉及吊销许可证行政处罚立案的案件，指定专人负责，与当事人有直接利害关系的应当回避。执法人员不得少于两人，调查时应出示执法证件，允许当事人辩解陈述，执法人员应保守有关秘密。（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阶段责任：水行政主管部门应当对案件违法事实、证据、调查取证程序、法律适用、处罚种类和幅度、当事人陈述和申辩理由等方面进行审查，提出处理意见（主要证据不足时，以适当的方式补充调查）。（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4.告知阶段责任：水行政主管部门在做出吊销许可证的行政处罚决定前，应制作行政处罚告知书送达当事人，告知当事人违法事实及其享有的陈述、申辩、要求听证等权利。（工程建设科）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阶段责任：水行政主管部门根据审理情况决定是否予以行政处罚。依法需要给予行政处罚的，应制作行政处罚决定书，载明违法事实和证据、处罚依据和内容、申请行政复议或提起行政诉讼的途径和期限等内容。（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6.送达阶段责任：行政处罚决定书应在7日内送达当事人。（工程建设科）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7.执行阶段责任：依照生效的行政处罚决定，监督改正或吊销许可证。（工程建设科）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8.其他法律法规规章文件规定应履行的责任。（工程建设科）</w:t>
            </w:r>
          </w:p>
        </w:tc>
        <w:tc>
          <w:tcPr>
            <w:tcW w:w="8460" w:type="dxa"/>
            <w:shd w:val="clear" w:color="auto" w:fill="auto"/>
            <w:tcMar>
              <w:top w:w="10" w:type="dxa"/>
              <w:left w:w="10" w:type="dxa"/>
              <w:right w:w="10" w:type="dxa"/>
            </w:tcMar>
            <w:vAlign w:val="center"/>
          </w:tcPr>
          <w:p w14:paraId="161A0E9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1.【部门规章】《水行政处罚实施办法》（水利部令第55号，2023年3月10日发布，2023年5月1日起施行）第二十九条 除本办法第二十七条规定的可以当场作出的水行政处罚外，水行政处罚机关对依据水行政监督检查或者通过投诉举报、其他机关移送、上级机关交办等途径发现的违法行为线索，应当在十个工作日内予以核查。案情复杂等特殊情况无法按期完成核查的，经本机关负责人批准，可以延长五个工作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公民、法人或者其他组织有符合下列条件的违法行为的，水行政处罚机关应当予以立案：（一）有涉嫌违法的事实；（二）依法应当给予水行政处罚；（三）属于本水行政处罚机关管辖；（四）违法行为未超过追责期限。</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2.【部门规章】《水行政处罚实施办法》（水利部令第55号，2023年3月10日发布，2023年5月1日起施行）第十九条 水行政处罚应当由两名以上具有行政执法资格的执法人员实施。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执法人员与案件有直接利害关系或者有其他关系可能影响公正执法的，应当回避，当事人也有权申请其回避。当事人提出回避申请的，水行政处罚机关应当依法审查，由水行政处罚机关负责人决定。决定作出之前，不停止调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3-1.【部门规章】《水行政处罚实施办法》（水利部令第55号，2023年3月10日发布，2023年5月1日起施行）第三十二条 水行政执法人员收集证据时，可以采取抽样取证的方法。在证据可能灭失或者以后难以取得的情况下，经水行政处罚机关负责人批准，可以先行登记保存。情况紧急，需要当场采取先行登记保存措施的，水行政执法人员应当在二十四小时内向水行政处罚机关负责人报告，并及时补办批准手续。水行政处罚机关负责人认为不应当采取先行登记保存措施的，应当立即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3-2【部门规章】《水行政处罚实施办法》（水利部令第55号，2023年3月10日发布，2023年5月1日起施行）第三十三条 水行政执法人员先行登记保存有关证据，应当当场清点，开具清单，由当事人和水行政执法人员签名或者盖章，并当场交付先行登记保存证据通知书。当事人不在场或者拒绝到场、拒绝签收的，可以邀请有关人员作为见证人签名或者盖章，采用录音、录像等方式予以记录，并由两名以上水行政执法人员在清单上注明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登记保存物品时，在原地保存可能妨害公共秩序、公共安全或者对证据保存不利的，可以异地保存。</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先行登记保存期间，当事人或者有关人员不得销毁或者转移证据。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3-3【部门规章】《水行政处罚实施办法》（水利部令第55号，2023年3月10日发布，2023年5月1日起施行）第三十四条 对于先行登记保存的证据，应当在七个工作日内分别作出以下处理决定：（一）需要采取记录、复制、拍照、录像等证据保全措施的，采取证据保全措施；（二）需要进行检测、检验、鉴定、评估、认定的，送交有关机构检测、检验、鉴定、评估、认定；（三）依法应当由有关部门处理的，移交有关部门；（四）不需要继续登记保存的，解除先行登记保存；（五）依法需要对船舶、车辆等物品采取查封、扣押的，依照法定程序查封、扣押；（六）法律、法规规定的其他处理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逾期未采取相关措施的，先行登记保存措施自动解除。</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4-1.【部门规章】《水行政处罚实施办法》（水利部令第55号，2023年3月10日发布，2023年5月1日起施行）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案件调查终结，水行政执法人员应当及时提交调查报告。调查报告应当包括当事人的基本情况、违法事实、违法后果、相关证据、法律依据等，并提出依法是否应当给予水行政处罚以及给予何种水行政处罚的处理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调查终结，水行政处罚机关负责人应当对调查结果进行审查，根据不同情况，分别作出下列决定：（一）确有应受水行政处罚的违法行为的，根据情节轻重及具体情况，作出水行政处罚决定；（二）违法行为轻微，依法可以不予水行政处罚的，不予水行政处罚；（三）违法事实不能成立的，不予水行政处罚；（四）违法行为涉嫌犯罪的，移送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4-2.【部门规章】《水行政处罚实施办法》（水利部令第55号，2023年3月10日发布，2023年5月1日起施行）第二十条 水行政处罚机关在作出水行政处罚决定之前，应当书面告知当事人拟作出的水行政处罚内容及事实、理由、依据，并告知当事人依法享有陈述、申辩、要求听证等权利。不得限制或者变相限制当事人享有的陈述权、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行政处罚机关在告知当事人拟作出的水行政处罚决定后，当事人申请陈述、申辩的，应当充分听取当事人的陈述、申辩，对当事人提出的事实、理由和证据进行复核。当事人提出的事实、理由或者证据成立的，水行政处罚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5.【部门规章】《水行政处罚实施办法》（水利部令第55号，2023年3月10日发布，2023年5月1日起施行）第四十二条 水行政处罚机关给予水行政处罚，应当制作水行政处罚决定书。水行政处罚决定书应当载明下列事项：（一）当事人的姓名或者名称、地址；（二）违反法律、法规、规章的事实和证据，以及当事人陈述、申辩和听证情况；（三）水行政处罚的种类和依据；（四）水行政处罚的履行方式和期限；（五）申请行政复议、提起行政诉讼的途径和期限；（六）作出水行政处罚决定的水行政处罚机关名称和作出决定的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对同一当事人的两个或者两个以上水事违法行为，可以分别制作水行政处罚决定书，也可以列入同一水行政处罚决定书。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6-1.【部门规章】《水行政处罚实施办法》（水利部令第55号，2023年3月10日发布，2023年5月1日起施行）第四十五条 水行政执法文书应当在宣告后当场交付当事人；当事人不在场的，水行政处罚机关应当在七个工作日内依照《中华人民共和国民事诉讼法》的有关规定，将水行政处罚决定书送达当事人，由当事人在送达回证上签名或者盖章，并注明签收日期。签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拒绝接收水行政执法文书的，送达人可以邀请有关基层组织或者所在单位的代表到场见证，在送达回证上注明拒收事由和日期，由送达人、见证人签名或者盖章，把水行政执法文书留在当事人的住所；也可以将水行政执法文书留在当事人的住所，并采取拍照、录像等方式记录送达过程，即视为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邮寄送达的，交由国家邮政机构邮寄。以回执上注明的收件日期为送达日期。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当事人同意并签订确认书的，水行政处罚机关可以采取传真、电子邮件、即时通讯信息等方式送达，到达受送达人特定系统的日期为送达日期。</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当事人下落不明，或者采用其他方式无法送达的，水行政处罚机关可以通过本机关或者本级人民政府网站公告送达，也可以根据需要在当地主要新闻媒体公告或者在当事人住所地、经营场所公告送达。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6-2.【部门规章】《水行政处罚实施办法》（水利部令第55号，2023年3月10日发布，2023年5月1日起施行）第四十九条 水行政处罚决定作出后，当事人应当履行。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当事人对水行政处罚决定不服的，可以依法申请行政复议或者提起行政诉讼。申请行政复议或者提起行政诉讼的，水行政处罚不停止执行，法律另有规定的除外。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当事人申请行政复议或者提起行政诉讼的，加处罚款的数额在行政复议或者行政诉讼期间不予计算。</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7.【部门规章】《水行政处罚实施办法》（水利部令第55号，2023年3月10日发布，2023年5月1日起施行）第五十四条 当事人逾期不履行水行政处罚决定的，作出水行政处罚决定的水行政处罚机关可以采取下列措施：（一）到期不缴纳罚款的，每日按罚款数额的百分之三加处罚款，加处罚款的数额不得超出罚款的数额；（二）根据法律规定，将查封、扣押的财物拍卖、依法处理抵缴罚款；（三）根据法律规定，申请人民法院强制执行或者采取其他行政强制执行方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水行政处罚机关批准延期、分期缴纳罚款的，申请人民法院强制执行的期限，自暂缓或者分期缴纳罚款期限结束之日起计算。</w:t>
            </w:r>
          </w:p>
        </w:tc>
        <w:tc>
          <w:tcPr>
            <w:tcW w:w="3286" w:type="dxa"/>
            <w:shd w:val="clear" w:color="auto" w:fill="auto"/>
            <w:tcMar>
              <w:top w:w="10" w:type="dxa"/>
              <w:left w:w="10" w:type="dxa"/>
              <w:right w:w="10" w:type="dxa"/>
            </w:tcMar>
            <w:vAlign w:val="center"/>
          </w:tcPr>
          <w:p w14:paraId="53E7D5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1.对应当予以制止和处罚的违法行为不予制止、处罚的；（机关纪委）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2.没有法律和事实依据实施行政处罚的；（机关纪委）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3.因处罚不当给当事人造成损失的；（机关纪委）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4.执行人员玩忽职守，对应当予以制止和处罚的违法行为不予制止、处罚，致使公民、法人或者其他组织的合法权益、公共利益和社会秩序遭受损害的；（机关纪委）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5.不具备行政执法资格实施行政处罚的；（机关纪委）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6.擅自改变行政处罚种类、幅度的；（机关纪委）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7.违反法定的行政处罚程序的；（机关纪委）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8.应当依法移送追究刑事责任，而未依法移送有权机关的；（机关纪委）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9.符合听证条件、行政管理相对人要求听证，应予组织听证而不组织听证的；（机关纪委）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10.在行政处罚过程中发生腐败行为的；（机关纪委）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11.除以上追责情形外，其他违反法律法规规章的行为依法追究相应责任。（机关纪委）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8487684">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eastAsia="zh-CN"/>
              </w:rPr>
              <w:t xml:space="preserve">1.【部门规章】《广西壮族自治区行政过错责任追究办法》（2007年4月17日会议审议通过，自2007年6月1日起施行） 第十二条 行政机关在实施行政处罚过程中，有下列情形之一的，应当追究行政过错责任：  </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（一）不具备行政处罚主体资格；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（二）没有事实和法律依据；</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（三）擅自改变处罚种类、幅度；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（四）违反法定程序；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（五）违法处理罚没财物；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（六）涉嫌犯罪，不移交司法机关；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（七）对违法行为应当处罚不处罚或者乱处罚；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（八）其他违法实施行政处罚的情形。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行政机关工作人员违反前款规定，应当承担行政过错责任。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3.【法律】《中华人民共和国行政处罚法》（2021年7月15日实施主席令第70号）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4.【法律】《中华人民共和国行政处罚法》（2021年7月15日实施主席令第70号）第八十三条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5.【法律】《中华人民共和国行政处罚法》（2021年7月15日实施主席令第70号）第七十六条　行政机关实施行政处罚，有下列情形之一，由上级行政机关或者有关机关责令改正，对直接负责的主管人员和其他直接责任人员依法给予处分：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（一）没有法定的行政处罚依据的；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（二）擅自改变行政处罚种类、幅度的；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（三）违反法定的行政处罚程序的；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（四）违反本法第二十条关于委托处罚的规定的；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（五）执法人员未取得执法证件的。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行政机关对符合立案标准的案件不及时立案的，依照前款规定予以处理。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8.【法律】《中华人民共和国行政处罚法》（2021年7月15日实施主席令第70号）第八十二条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9.同5。</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10.【法律】《中华人民共和国行政处罚法》（2021年7月15日实施主席令第70号）第七十九条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执法人员利用职务上的便利，索取或者收受他人财物、将收缴罚款据为己有，构成犯罪的，依法追究刑事责任；情节轻微不构成犯罪的，依法给予处分。</w:t>
            </w:r>
            <w:r>
              <w:rPr>
                <w:rFonts w:hint="default" w:ascii="仿宋_GB2312" w:hAnsi="宋体" w:eastAsia="仿宋_GB2312" w:cs="仿宋_GB2312"/>
                <w:i w:val="0"/>
                <w:iCs w:val="0"/>
                <w:strike w:val="0"/>
                <w:dstrike w:val="0"/>
                <w:color w:val="auto"/>
                <w:sz w:val="21"/>
                <w:szCs w:val="21"/>
                <w:u w:val="none"/>
              </w:rPr>
              <w:br w:type="textWrapping"/>
            </w:r>
            <w:r>
              <w:rPr>
                <w:rFonts w:hint="eastAsia" w:ascii="仿宋_GB2312" w:hAnsi="宋体" w:eastAsia="仿宋_GB2312" w:cs="仿宋_GB2312"/>
                <w:i w:val="0"/>
                <w:iCs w:val="0"/>
                <w:strike w:val="0"/>
                <w:dstrike w:val="0"/>
                <w:color w:val="auto"/>
                <w:sz w:val="21"/>
                <w:szCs w:val="21"/>
                <w:u w:val="none"/>
                <w:lang w:eastAsia="zh-CN"/>
              </w:rPr>
              <w:t xml:space="preserve"> </w:t>
            </w:r>
          </w:p>
        </w:tc>
        <w:tc>
          <w:tcPr>
            <w:tcW w:w="950" w:type="dxa"/>
            <w:shd w:val="clear" w:color="auto" w:fill="auto"/>
            <w:tcMar>
              <w:top w:w="10" w:type="dxa"/>
              <w:left w:w="10" w:type="dxa"/>
              <w:right w:w="10" w:type="dxa"/>
            </w:tcMar>
            <w:vAlign w:val="center"/>
          </w:tcPr>
          <w:p w14:paraId="38B879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F0D4234">
            <w:pPr>
              <w:jc w:val="center"/>
              <w:rPr>
                <w:rFonts w:hint="default" w:ascii="仿宋_GB2312" w:hAnsi="宋体" w:eastAsia="仿宋_GB2312" w:cs="仿宋_GB2312"/>
                <w:i w:val="0"/>
                <w:iCs w:val="0"/>
                <w:strike w:val="0"/>
                <w:dstrike w:val="0"/>
                <w:color w:val="auto"/>
                <w:sz w:val="21"/>
                <w:szCs w:val="21"/>
                <w:u w:val="none"/>
              </w:rPr>
            </w:pPr>
          </w:p>
        </w:tc>
      </w:tr>
      <w:tr w14:paraId="51E0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3C73E2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146 </w:t>
            </w:r>
          </w:p>
        </w:tc>
        <w:tc>
          <w:tcPr>
            <w:tcW w:w="775" w:type="dxa"/>
            <w:shd w:val="clear" w:color="auto" w:fill="auto"/>
            <w:tcMar>
              <w:top w:w="10" w:type="dxa"/>
              <w:left w:w="10" w:type="dxa"/>
              <w:right w:w="10" w:type="dxa"/>
            </w:tcMar>
            <w:vAlign w:val="center"/>
          </w:tcPr>
          <w:p w14:paraId="4611527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48D4873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对逾期不拆除擅自修建水工程，或者建设桥梁、码头和其他拦河、跨河、临河建筑物、构筑物，铺设跨河管道、电缆行为的行政强制</w:t>
            </w:r>
          </w:p>
        </w:tc>
        <w:tc>
          <w:tcPr>
            <w:tcW w:w="548" w:type="dxa"/>
            <w:shd w:val="clear" w:color="auto" w:fill="auto"/>
            <w:tcMar>
              <w:top w:w="10" w:type="dxa"/>
              <w:left w:w="10" w:type="dxa"/>
              <w:right w:w="10" w:type="dxa"/>
            </w:tcMar>
            <w:vAlign w:val="center"/>
          </w:tcPr>
          <w:p w14:paraId="401978B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31A905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C0EE1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74DEA4F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第六十五条第二款 未经水行政主管部门或者流域管理机构同意，擅自修建水工程，或者建设桥梁、码头和其他拦河、跨河、临河建筑物、构筑物，铺设跨河管道、电缆，且防洪法未作规定的，由县级以上人民政府水行政主管部门或者流域管理机构依据职权，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4075" w:type="dxa"/>
            <w:shd w:val="clear" w:color="auto" w:fill="auto"/>
            <w:tcMar>
              <w:top w:w="10" w:type="dxa"/>
              <w:left w:w="10" w:type="dxa"/>
              <w:right w:w="10" w:type="dxa"/>
            </w:tcMar>
            <w:vAlign w:val="center"/>
          </w:tcPr>
          <w:p w14:paraId="0768922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1.审查催告阶段责任：审查当事人是否已完成清除，对未清除的，催告当事人履行义务，制作催告书，并予以公告；（河长制工作科）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4.事后监管责任：检查拆除违法建筑物、恢复原状情况。（河长制工作科）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5.其他法律法规规章文件规定应履行的责任。（河长制工作科）</w:t>
            </w:r>
          </w:p>
        </w:tc>
        <w:tc>
          <w:tcPr>
            <w:tcW w:w="8460" w:type="dxa"/>
            <w:shd w:val="clear" w:color="auto" w:fill="auto"/>
            <w:tcMar>
              <w:top w:w="10" w:type="dxa"/>
              <w:left w:w="10" w:type="dxa"/>
              <w:right w:w="10" w:type="dxa"/>
            </w:tcMar>
            <w:vAlign w:val="center"/>
          </w:tcPr>
          <w:p w14:paraId="22285CB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 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26F78DB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764C259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lang w:val="en-US"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247D342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DC5B0EF">
            <w:pPr>
              <w:jc w:val="center"/>
              <w:rPr>
                <w:rFonts w:hint="default" w:ascii="仿宋_GB2312" w:hAnsi="宋体" w:eastAsia="仿宋_GB2312" w:cs="仿宋_GB2312"/>
                <w:i w:val="0"/>
                <w:iCs w:val="0"/>
                <w:strike w:val="0"/>
                <w:dstrike w:val="0"/>
                <w:color w:val="auto"/>
                <w:sz w:val="21"/>
                <w:szCs w:val="21"/>
                <w:u w:val="none"/>
              </w:rPr>
            </w:pPr>
          </w:p>
        </w:tc>
      </w:tr>
      <w:tr w14:paraId="3107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3625FA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147 </w:t>
            </w:r>
          </w:p>
        </w:tc>
        <w:tc>
          <w:tcPr>
            <w:tcW w:w="775" w:type="dxa"/>
            <w:shd w:val="clear" w:color="auto" w:fill="auto"/>
            <w:tcMar>
              <w:top w:w="10" w:type="dxa"/>
              <w:left w:w="10" w:type="dxa"/>
              <w:right w:w="10" w:type="dxa"/>
            </w:tcMar>
            <w:vAlign w:val="center"/>
          </w:tcPr>
          <w:p w14:paraId="28CDE20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0324820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对围湖造地、未经批准围垦河道，既不恢复原状也不采取其他补救措施行为的行政强制</w:t>
            </w:r>
          </w:p>
        </w:tc>
        <w:tc>
          <w:tcPr>
            <w:tcW w:w="548" w:type="dxa"/>
            <w:shd w:val="clear" w:color="auto" w:fill="auto"/>
            <w:tcMar>
              <w:top w:w="10" w:type="dxa"/>
              <w:left w:w="10" w:type="dxa"/>
              <w:right w:w="10" w:type="dxa"/>
            </w:tcMar>
            <w:vAlign w:val="center"/>
          </w:tcPr>
          <w:p w14:paraId="3C6B43E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D5A659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881A1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24F30A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第十五条 国务院水行政主管部门应当会同有关部门和省、自治区、直辖市人民政府制定长江、黄河、珠江、辽河、淮河、海河入海河口的整治规划。</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在前款入海河口围海造地，应当符合河口整治规划。</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第二十三条 禁止围湖造地。已经围垦的，应当按照国家规定的防洪标准进行治理，有计划地退地还湖。</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禁止围垦河道。确需围垦的，应当进行科学论证，经水行政主管部门确认不妨碍行洪、输水后，报省级以上人民政府批准。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违反本法第十五条第二款、第二十三条规定，围海造地、围湖造地、围垦河道的，责令停止违法行为，恢复原状或者采取其他补救措施，可以处五万元以下的罚款；既不恢复原状也不采取其他补救措施的，代为恢复原状或者采取其他补救措施，所需费用由违法者承担。</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除本法第五十九条的规定外，本章规定的行政处罚和行政措施，由县级以上人民政府水行政主管部门决定，或者由流域管理机构按照国务院水行政主管部门规定的权限决定。</w:t>
            </w:r>
          </w:p>
        </w:tc>
        <w:tc>
          <w:tcPr>
            <w:tcW w:w="4075" w:type="dxa"/>
            <w:shd w:val="clear" w:color="auto" w:fill="auto"/>
            <w:tcMar>
              <w:top w:w="10" w:type="dxa"/>
              <w:left w:w="10" w:type="dxa"/>
              <w:right w:w="10" w:type="dxa"/>
            </w:tcMar>
            <w:vAlign w:val="center"/>
          </w:tcPr>
          <w:p w14:paraId="5A07FE8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1.审查催告阶段责任：审查当事人是否已完成清除，对未清除的，催告当事人履行义务，制作催告书，并予以公告；（河长制工作科）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4.事后监管责任：检查拆除违法建筑物、恢复原状情况。（河长制工作科）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5.其他法律法规规章文件规定应履行的责任。（河长制工作科）</w:t>
            </w:r>
          </w:p>
        </w:tc>
        <w:tc>
          <w:tcPr>
            <w:tcW w:w="8460" w:type="dxa"/>
            <w:shd w:val="clear" w:color="auto" w:fill="auto"/>
            <w:tcMar>
              <w:top w:w="10" w:type="dxa"/>
              <w:left w:w="10" w:type="dxa"/>
              <w:right w:w="10" w:type="dxa"/>
            </w:tcMar>
            <w:vAlign w:val="center"/>
          </w:tcPr>
          <w:p w14:paraId="2C6751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2AEAACF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516B507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lang w:val="en-US"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551517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B0D2460">
            <w:pPr>
              <w:jc w:val="center"/>
              <w:rPr>
                <w:rFonts w:hint="default" w:ascii="仿宋_GB2312" w:hAnsi="宋体" w:eastAsia="仿宋_GB2312" w:cs="仿宋_GB2312"/>
                <w:i w:val="0"/>
                <w:iCs w:val="0"/>
                <w:strike w:val="0"/>
                <w:dstrike w:val="0"/>
                <w:color w:val="auto"/>
                <w:sz w:val="21"/>
                <w:szCs w:val="21"/>
                <w:u w:val="none"/>
              </w:rPr>
            </w:pPr>
          </w:p>
        </w:tc>
      </w:tr>
      <w:tr w14:paraId="1FEE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07EB1E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148 </w:t>
            </w:r>
          </w:p>
        </w:tc>
        <w:tc>
          <w:tcPr>
            <w:tcW w:w="775" w:type="dxa"/>
            <w:shd w:val="clear" w:color="auto" w:fill="auto"/>
            <w:tcMar>
              <w:top w:w="10" w:type="dxa"/>
              <w:left w:w="10" w:type="dxa"/>
              <w:right w:w="10" w:type="dxa"/>
            </w:tcMar>
            <w:vAlign w:val="center"/>
          </w:tcPr>
          <w:p w14:paraId="235309B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328C2A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对违法采砂机具的行政强制</w:t>
            </w:r>
          </w:p>
        </w:tc>
        <w:tc>
          <w:tcPr>
            <w:tcW w:w="548" w:type="dxa"/>
            <w:shd w:val="clear" w:color="auto" w:fill="auto"/>
            <w:tcMar>
              <w:top w:w="10" w:type="dxa"/>
              <w:left w:w="10" w:type="dxa"/>
              <w:right w:w="10" w:type="dxa"/>
            </w:tcMar>
            <w:vAlign w:val="center"/>
          </w:tcPr>
          <w:p w14:paraId="4D419F4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4B568B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62786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087174E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第三十三条 违反本条例第十四条第二款规定，未依法取得河道采砂许可证擅自在河道采砂的，由县级以上人民政府水行政主管部门责令停止违法行为，扣押违法采砂机具，没收违法所得，并处三万元以上十万元以下罚款。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违反本条例第十四条第二款规定，未依法取得河道采砂许可证擅自在河道采砂，有下列情形之一，违法采砂一百立方米以上三百立方米以下的，可并处十万元以上三十万元以下罚款；违法采砂三百立方米以上的，可并处三十万元以上五十万元以下罚款：（一）违法采砂两次以上；（二）在桥梁、码头、拦河闸坝、取水口、水文监测等工程及其附属设施安全保护范围内采砂；（三）在堤防管理范围内采砂；（四）在禁采区或者禁采期采砂；（五）违法采砂造成水工程损坏、河势改变、水生态环境破坏、矿产资源破坏。</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违反本条例第二十三条第一项规定，不按照河道采砂许可证的规定采砂的，由县级以上人民政府水行政主管部门责令停止违法行为，扣押违法采砂机具，没收违法所得，并处一万元以上十万元以下罚款；情节严重的，吊销河道采砂许可证，并处十万元以上二十万元以下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第四十二条 县级以上人民政府水行政主管部门依照本条例规定扣押违法采砂机具，应当依法作出处理决定；当事人在法定期限内不申请行政复议或者提起行政诉讼，经催告仍不履行的，可委托拍卖机构依法予以拍卖，所得款项扣除处理费用后，抵缴罚款并上缴财政，剩余款项予以退还。</w:t>
            </w:r>
          </w:p>
        </w:tc>
        <w:tc>
          <w:tcPr>
            <w:tcW w:w="4075" w:type="dxa"/>
            <w:shd w:val="clear" w:color="auto" w:fill="auto"/>
            <w:tcMar>
              <w:top w:w="10" w:type="dxa"/>
              <w:left w:w="10" w:type="dxa"/>
              <w:right w:w="10" w:type="dxa"/>
            </w:tcMar>
            <w:vAlign w:val="center"/>
          </w:tcPr>
          <w:p w14:paraId="74A19D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1.审查催告阶段责任：审查当事人是否存在未依法取得河道采砂许可证擅自在河道采砂，或不按照河道采砂许可证的规定采砂的行为，催告当事人履行义务，制作催告书，并予以公告；（河长制工作科）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4.事后监管责任：检查违法采砂行为整改情况。（河长制工作科）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5.其他法律法规规章文件规定应履行的责任。（河长制工作科）</w:t>
            </w:r>
          </w:p>
        </w:tc>
        <w:tc>
          <w:tcPr>
            <w:tcW w:w="8460" w:type="dxa"/>
            <w:shd w:val="clear" w:color="auto" w:fill="auto"/>
            <w:tcMar>
              <w:top w:w="10" w:type="dxa"/>
              <w:left w:w="10" w:type="dxa"/>
              <w:right w:w="10" w:type="dxa"/>
            </w:tcMar>
            <w:vAlign w:val="center"/>
          </w:tcPr>
          <w:p w14:paraId="1AEA092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32D6D6F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2A5D623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44A953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85F6C2B">
            <w:pPr>
              <w:jc w:val="center"/>
              <w:rPr>
                <w:rFonts w:hint="default" w:ascii="仿宋_GB2312" w:hAnsi="宋体" w:eastAsia="仿宋_GB2312" w:cs="仿宋_GB2312"/>
                <w:i w:val="0"/>
                <w:iCs w:val="0"/>
                <w:strike w:val="0"/>
                <w:dstrike w:val="0"/>
                <w:color w:val="auto"/>
                <w:sz w:val="21"/>
                <w:szCs w:val="21"/>
                <w:u w:val="none"/>
              </w:rPr>
            </w:pPr>
          </w:p>
        </w:tc>
      </w:tr>
      <w:tr w14:paraId="027B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47DA56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149 </w:t>
            </w:r>
          </w:p>
        </w:tc>
        <w:tc>
          <w:tcPr>
            <w:tcW w:w="775" w:type="dxa"/>
            <w:shd w:val="clear" w:color="auto" w:fill="auto"/>
            <w:tcMar>
              <w:top w:w="10" w:type="dxa"/>
              <w:left w:w="10" w:type="dxa"/>
              <w:right w:w="10" w:type="dxa"/>
            </w:tcMar>
            <w:vAlign w:val="center"/>
          </w:tcPr>
          <w:p w14:paraId="2B7B72E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351E700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对逾期不拆除未经审查同意或者未按照审查批准的位置、界限，在河道、湖泊管理范围内从事工程设施建设活动行为的行政强制</w:t>
            </w:r>
          </w:p>
        </w:tc>
        <w:tc>
          <w:tcPr>
            <w:tcW w:w="548" w:type="dxa"/>
            <w:shd w:val="clear" w:color="auto" w:fill="auto"/>
            <w:tcMar>
              <w:top w:w="10" w:type="dxa"/>
              <w:left w:w="10" w:type="dxa"/>
              <w:right w:w="10" w:type="dxa"/>
            </w:tcMar>
            <w:vAlign w:val="center"/>
          </w:tcPr>
          <w:p w14:paraId="038FE185">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4C895D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3F5D36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6047B52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1.【法律】《中华人民共和国防洪法》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违反本法第二十七条规定，未经水行政主管部门对其工程建设方案审查同意或者未按照有关水行政主管部门审查批准的位置、界限，在河道、湖泊管理范围内从事工程设施建设活动的，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第六十三条 除本法第五十九条的规定外，本章规定的行政处罚和行政措施，由县级以上人民政府水行政主管部门决定，或者由流域管理机构按照国务院水行政主管部门规定的权限决定。</w:t>
            </w:r>
          </w:p>
        </w:tc>
        <w:tc>
          <w:tcPr>
            <w:tcW w:w="4075" w:type="dxa"/>
            <w:shd w:val="clear" w:color="auto" w:fill="auto"/>
            <w:tcMar>
              <w:top w:w="10" w:type="dxa"/>
              <w:left w:w="10" w:type="dxa"/>
              <w:right w:w="10" w:type="dxa"/>
            </w:tcMar>
            <w:vAlign w:val="center"/>
          </w:tcPr>
          <w:p w14:paraId="2898DF3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逾期不拆除未经审查同意或者未按照审查批准的位置、界限，在河道、湖泊管理范围内从事工程设施建设活动的行为，催告当事人履行义务，制作催告书，并予以公告；（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4.事后监管责任：检查违规工程建设设施拆除情况或补救措施执行情况。（河长制工作科）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5.其他法律法规规章文件规定应履行的责任。（河长制工作科）</w:t>
            </w:r>
          </w:p>
        </w:tc>
        <w:tc>
          <w:tcPr>
            <w:tcW w:w="8460" w:type="dxa"/>
            <w:shd w:val="clear" w:color="auto" w:fill="auto"/>
            <w:tcMar>
              <w:top w:w="10" w:type="dxa"/>
              <w:left w:w="10" w:type="dxa"/>
              <w:right w:w="10" w:type="dxa"/>
            </w:tcMar>
            <w:vAlign w:val="center"/>
          </w:tcPr>
          <w:p w14:paraId="5E2D83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11F2FB9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5210630F">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37820C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5DE3E3B">
            <w:pPr>
              <w:jc w:val="center"/>
              <w:rPr>
                <w:rFonts w:hint="default" w:ascii="仿宋_GB2312" w:hAnsi="宋体" w:eastAsia="仿宋_GB2312" w:cs="仿宋_GB2312"/>
                <w:i w:val="0"/>
                <w:iCs w:val="0"/>
                <w:strike w:val="0"/>
                <w:dstrike w:val="0"/>
                <w:color w:val="auto"/>
                <w:sz w:val="21"/>
                <w:szCs w:val="21"/>
                <w:u w:val="none"/>
              </w:rPr>
            </w:pPr>
          </w:p>
        </w:tc>
      </w:tr>
      <w:tr w14:paraId="4640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877762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150 </w:t>
            </w:r>
          </w:p>
        </w:tc>
        <w:tc>
          <w:tcPr>
            <w:tcW w:w="775" w:type="dxa"/>
            <w:shd w:val="clear" w:color="auto" w:fill="auto"/>
            <w:tcMar>
              <w:top w:w="10" w:type="dxa"/>
              <w:left w:w="10" w:type="dxa"/>
              <w:right w:w="10" w:type="dxa"/>
            </w:tcMar>
            <w:vAlign w:val="center"/>
          </w:tcPr>
          <w:p w14:paraId="42084C3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64DA85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对水库、水电站、拦河闸坝等工程的管理单位以及其他经营工程设施的经营者拒不服从统一调度和指挥，拒不改正行为的行政强制</w:t>
            </w:r>
          </w:p>
        </w:tc>
        <w:tc>
          <w:tcPr>
            <w:tcW w:w="548" w:type="dxa"/>
            <w:shd w:val="clear" w:color="auto" w:fill="auto"/>
            <w:tcMar>
              <w:top w:w="10" w:type="dxa"/>
              <w:left w:w="10" w:type="dxa"/>
              <w:right w:w="10" w:type="dxa"/>
            </w:tcMar>
            <w:vAlign w:val="center"/>
          </w:tcPr>
          <w:p w14:paraId="5CE5AAA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2ADE90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DCFF29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17FDB0C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1.【行政法规】《中华人民共和国抗旱条例》（2009年国务院令第552号公布）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违反本条例规定，水库、水电站、拦河闸坝等工程的管理单位以及其他经营工程设施的经营者拒不服从统一调度和指挥的，由县级以上人民政府水行政主管部门或者流域管理机构责令改正，给予警告；拒不改正的，强制执行，处1万元以上5万元以下的罚款。</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2.【地方性法规】《广西壮族自治区抗旱条例》（2009年国务院令第552号公布）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违反本条例规定，有下列行为之一的，由县级以上人民政府水行政主管部门责令改正，给予警告；拒不改正的，依法强制执行，处一万元以上五万元以下罚款：（一）水库、水电站、闸坝、湖泊、应急储备水源等水工程的管理单位和建有自备水源的企业、事业单位和个人，拒不服从统一调度和指挥的；（二）流域梯级水电站的管理单位不按照调度指令保证必需的下泄流量的。</w:t>
            </w:r>
          </w:p>
        </w:tc>
        <w:tc>
          <w:tcPr>
            <w:tcW w:w="4075" w:type="dxa"/>
            <w:shd w:val="clear" w:color="auto" w:fill="auto"/>
            <w:tcMar>
              <w:top w:w="10" w:type="dxa"/>
              <w:left w:w="10" w:type="dxa"/>
              <w:right w:w="10" w:type="dxa"/>
            </w:tcMar>
            <w:vAlign w:val="center"/>
          </w:tcPr>
          <w:p w14:paraId="3DB3364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水库、水电站、拦河闸坝等工程的管理单位以及其他经营工程设施的经营者是否存在拒不服从统一调度和指挥，拒不改正的行为，催告当事人履行义务，制作催告书，并予以公告；（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C41A1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7B683EA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0F3051C1">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305E80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C0E1DFA">
            <w:pPr>
              <w:jc w:val="center"/>
              <w:rPr>
                <w:rFonts w:hint="default" w:ascii="仿宋_GB2312" w:hAnsi="宋体" w:eastAsia="仿宋_GB2312" w:cs="仿宋_GB2312"/>
                <w:i w:val="0"/>
                <w:iCs w:val="0"/>
                <w:strike w:val="0"/>
                <w:dstrike w:val="0"/>
                <w:color w:val="auto"/>
                <w:sz w:val="21"/>
                <w:szCs w:val="21"/>
                <w:u w:val="none"/>
              </w:rPr>
            </w:pPr>
          </w:p>
        </w:tc>
      </w:tr>
      <w:tr w14:paraId="62E2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A6E6FC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151 </w:t>
            </w:r>
          </w:p>
        </w:tc>
        <w:tc>
          <w:tcPr>
            <w:tcW w:w="775" w:type="dxa"/>
            <w:shd w:val="clear" w:color="auto" w:fill="auto"/>
            <w:tcMar>
              <w:top w:w="10" w:type="dxa"/>
              <w:left w:w="10" w:type="dxa"/>
              <w:right w:w="10" w:type="dxa"/>
            </w:tcMar>
            <w:vAlign w:val="center"/>
          </w:tcPr>
          <w:p w14:paraId="4C85E2C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48F9ED3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对逾期不拆除擅自设立的水文测站或者在国家基本水文测站上下游建设影响水文监测的工程行为的行政强制</w:t>
            </w:r>
          </w:p>
        </w:tc>
        <w:tc>
          <w:tcPr>
            <w:tcW w:w="548" w:type="dxa"/>
            <w:shd w:val="clear" w:color="auto" w:fill="auto"/>
            <w:tcMar>
              <w:top w:w="10" w:type="dxa"/>
              <w:left w:w="10" w:type="dxa"/>
              <w:right w:w="10" w:type="dxa"/>
            </w:tcMar>
            <w:vAlign w:val="center"/>
          </w:tcPr>
          <w:p w14:paraId="63375FC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E16BCB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755A76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河长制工作科 </w:t>
            </w:r>
          </w:p>
        </w:tc>
        <w:tc>
          <w:tcPr>
            <w:tcW w:w="2789" w:type="dxa"/>
            <w:shd w:val="clear" w:color="auto" w:fill="auto"/>
            <w:tcMar>
              <w:top w:w="10" w:type="dxa"/>
              <w:left w:w="10" w:type="dxa"/>
              <w:right w:w="10" w:type="dxa"/>
            </w:tcMar>
            <w:vAlign w:val="center"/>
          </w:tcPr>
          <w:p w14:paraId="719E611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1.【行政法规】《中华人民共和国水文条例》（2007年国务院令第496号发布，2017年第三次修订）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未经批准擅自设立水文测站或者未经同意擅自在国家基本水文测站上下游建设影响水文监测的工程的，责令停止违法行为，限期采取补救措施，补办有关手续；无法采取补救措施、逾期不补办或者补办未被批准的，责令限期拆除违法建筑物；逾期不拆除的，强行拆除，所需费用由违法单位或者个人承担。</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本条例规定的行政处罚，由县级以上人民政府水行政主管部门或者流域管理机构依据职权决定。</w:t>
            </w:r>
          </w:p>
        </w:tc>
        <w:tc>
          <w:tcPr>
            <w:tcW w:w="4075" w:type="dxa"/>
            <w:shd w:val="clear" w:color="auto" w:fill="auto"/>
            <w:tcMar>
              <w:top w:w="10" w:type="dxa"/>
              <w:left w:w="10" w:type="dxa"/>
              <w:right w:w="10" w:type="dxa"/>
            </w:tcMar>
            <w:vAlign w:val="center"/>
          </w:tcPr>
          <w:p w14:paraId="3CF5993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1.审查催告责任：审查当事人是否存在逾期不拆除擅自设立的水文测站或者在国家基本水文测站上下游建设影响水文监测的工程的行为，催告当事人履行义务，制作催告书，并予以公告；（河长制工作科）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5.其他法律法规规章文件规定应履行的责任。（河长制工作科）</w:t>
            </w:r>
          </w:p>
        </w:tc>
        <w:tc>
          <w:tcPr>
            <w:tcW w:w="8460" w:type="dxa"/>
            <w:shd w:val="clear" w:color="auto" w:fill="auto"/>
            <w:tcMar>
              <w:top w:w="10" w:type="dxa"/>
              <w:left w:w="10" w:type="dxa"/>
              <w:right w:w="10" w:type="dxa"/>
            </w:tcMar>
            <w:vAlign w:val="center"/>
          </w:tcPr>
          <w:p w14:paraId="06B50BC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40FD5F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69550740">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336699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8C6669B">
            <w:pPr>
              <w:jc w:val="center"/>
              <w:rPr>
                <w:rFonts w:hint="default" w:ascii="仿宋_GB2312" w:hAnsi="宋体" w:eastAsia="仿宋_GB2312" w:cs="仿宋_GB2312"/>
                <w:i w:val="0"/>
                <w:iCs w:val="0"/>
                <w:strike w:val="0"/>
                <w:dstrike w:val="0"/>
                <w:color w:val="auto"/>
                <w:sz w:val="21"/>
                <w:szCs w:val="21"/>
                <w:u w:val="none"/>
              </w:rPr>
            </w:pPr>
          </w:p>
        </w:tc>
      </w:tr>
      <w:tr w14:paraId="0D64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2578296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152 </w:t>
            </w:r>
          </w:p>
        </w:tc>
        <w:tc>
          <w:tcPr>
            <w:tcW w:w="775" w:type="dxa"/>
            <w:shd w:val="clear" w:color="auto" w:fill="auto"/>
            <w:tcMar>
              <w:top w:w="10" w:type="dxa"/>
              <w:left w:w="10" w:type="dxa"/>
              <w:right w:w="10" w:type="dxa"/>
            </w:tcMar>
            <w:vAlign w:val="center"/>
          </w:tcPr>
          <w:p w14:paraId="062359A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6AFD34E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对未取得取水申请批准文件擅自建设取水工程设施逾期不拆除或者不封闭行为的行政强制</w:t>
            </w:r>
          </w:p>
        </w:tc>
        <w:tc>
          <w:tcPr>
            <w:tcW w:w="548" w:type="dxa"/>
            <w:shd w:val="clear" w:color="auto" w:fill="auto"/>
            <w:tcMar>
              <w:top w:w="10" w:type="dxa"/>
              <w:left w:w="10" w:type="dxa"/>
              <w:right w:w="10" w:type="dxa"/>
            </w:tcMar>
            <w:vAlign w:val="center"/>
          </w:tcPr>
          <w:p w14:paraId="7CDE22E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A94888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F4D74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Style w:val="156"/>
                <w:rFonts w:hAnsi="宋体"/>
                <w:strike w:val="0"/>
                <w:dstrike w:val="0"/>
                <w:color w:val="auto"/>
              </w:rPr>
              <w:t xml:space="preserve">水土保持与水资源科 </w:t>
            </w:r>
          </w:p>
        </w:tc>
        <w:tc>
          <w:tcPr>
            <w:tcW w:w="2789" w:type="dxa"/>
            <w:shd w:val="clear" w:color="auto" w:fill="auto"/>
            <w:tcMar>
              <w:top w:w="10" w:type="dxa"/>
              <w:left w:w="10" w:type="dxa"/>
              <w:right w:w="10" w:type="dxa"/>
            </w:tcMar>
            <w:vAlign w:val="center"/>
          </w:tcPr>
          <w:p w14:paraId="57F160A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第四十九条 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5万元以下罚款。</w:t>
            </w:r>
          </w:p>
        </w:tc>
        <w:tc>
          <w:tcPr>
            <w:tcW w:w="4075" w:type="dxa"/>
            <w:shd w:val="clear" w:color="auto" w:fill="auto"/>
            <w:tcMar>
              <w:top w:w="10" w:type="dxa"/>
              <w:left w:w="10" w:type="dxa"/>
              <w:right w:w="10" w:type="dxa"/>
            </w:tcMar>
            <w:vAlign w:val="center"/>
          </w:tcPr>
          <w:p w14:paraId="2579C1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1.审查催告责任：审查当事人是否存在逾期不拆除或者不封闭未取得取水申请批准文件擅自建设取水工程设施的行为，催告当事人履行义务，制作催告书，并予以公告；（水土保持与水资源科）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4.事后监管责任：检查拆除或封闭情况。（水土保持与水资源科）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7C93F61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73E9864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469D9C89">
            <w:pPr>
              <w:keepNext w:val="0"/>
              <w:keepLines w:val="0"/>
              <w:widowControl/>
              <w:suppressLineNumbers w:val="0"/>
              <w:jc w:val="left"/>
              <w:textAlignment w:val="center"/>
              <w:rPr>
                <w:rFonts w:hint="eastAsia" w:ascii="仿宋_GB2312" w:hAnsi="宋体" w:eastAsia="仿宋_GB2312" w:cs="仿宋_GB2312"/>
                <w:i w:val="0"/>
                <w:iCs w:val="0"/>
                <w:strike w:val="0"/>
                <w:dstrike w:val="0"/>
                <w:color w:val="auto"/>
                <w:sz w:val="21"/>
                <w:szCs w:val="21"/>
                <w:u w:val="none"/>
                <w:lang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7458E39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DD8846C">
            <w:pPr>
              <w:jc w:val="center"/>
              <w:rPr>
                <w:rFonts w:hint="default" w:ascii="仿宋_GB2312" w:hAnsi="宋体" w:eastAsia="仿宋_GB2312" w:cs="仿宋_GB2312"/>
                <w:i w:val="0"/>
                <w:iCs w:val="0"/>
                <w:strike w:val="0"/>
                <w:dstrike w:val="0"/>
                <w:color w:val="auto"/>
                <w:sz w:val="21"/>
                <w:szCs w:val="21"/>
                <w:u w:val="none"/>
              </w:rPr>
            </w:pPr>
          </w:p>
        </w:tc>
      </w:tr>
      <w:tr w14:paraId="7063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07145D6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153 </w:t>
            </w:r>
          </w:p>
        </w:tc>
        <w:tc>
          <w:tcPr>
            <w:tcW w:w="775" w:type="dxa"/>
            <w:shd w:val="clear" w:color="auto" w:fill="auto"/>
            <w:tcMar>
              <w:top w:w="10" w:type="dxa"/>
              <w:left w:w="10" w:type="dxa"/>
              <w:right w:w="10" w:type="dxa"/>
            </w:tcMar>
            <w:vAlign w:val="center"/>
          </w:tcPr>
          <w:p w14:paraId="5A44F22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0BE4311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对以监测、勘探为目的的地下水取水工程应当备案而未备案，且逾期不封井或者回填行为的行政强制</w:t>
            </w:r>
          </w:p>
        </w:tc>
        <w:tc>
          <w:tcPr>
            <w:tcW w:w="548" w:type="dxa"/>
            <w:shd w:val="clear" w:color="auto" w:fill="auto"/>
            <w:tcMar>
              <w:top w:w="10" w:type="dxa"/>
              <w:left w:w="10" w:type="dxa"/>
              <w:right w:w="10" w:type="dxa"/>
            </w:tcMar>
            <w:vAlign w:val="center"/>
          </w:tcPr>
          <w:p w14:paraId="4919335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5E6834E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CF76FA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1F085D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第四十八条第二款 以监测、勘探为目的的地下水取水工程，不需要申请取水许可，建设单位应当于施工前报有管辖权的水行政主管部门备案。</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第六十一条 以监测、勘探为目的的地下水取水工程在施工前应当备案而未备案的，由县级以上地方人民政府水行政主管部门责令限期补办备案手续；逾期不补办备案手续的，责令限期封井或者回填，处2万元以上10万元以下罚款；逾期不封井或者回填的，由县级以上地方人民政府水行政主管部门组织封井或者回填，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3EC7366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1.审查催告责任：审查当事人是否存在以监测、勘探为目的的地下水取水工程应当备案而未备案，且逾期不封井或者回填的行为，催告当事人履行义务，制作催告书，并予以公告；（水土保持与水资源科）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4.事后监管责任：检查封井或回填情况。（水土保持与水资源科）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5833E12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7CE8F68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798D85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0B52FCF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9932320">
            <w:pPr>
              <w:jc w:val="center"/>
              <w:rPr>
                <w:rFonts w:hint="default" w:ascii="仿宋_GB2312" w:hAnsi="宋体" w:eastAsia="仿宋_GB2312" w:cs="仿宋_GB2312"/>
                <w:i w:val="0"/>
                <w:iCs w:val="0"/>
                <w:strike w:val="0"/>
                <w:dstrike w:val="0"/>
                <w:color w:val="auto"/>
                <w:sz w:val="21"/>
                <w:szCs w:val="21"/>
                <w:u w:val="none"/>
              </w:rPr>
            </w:pPr>
          </w:p>
        </w:tc>
      </w:tr>
      <w:tr w14:paraId="3606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5" w:hRule="atLeast"/>
        </w:trPr>
        <w:tc>
          <w:tcPr>
            <w:tcW w:w="537" w:type="dxa"/>
            <w:shd w:val="clear" w:color="auto" w:fill="auto"/>
            <w:tcMar>
              <w:top w:w="10" w:type="dxa"/>
              <w:left w:w="10" w:type="dxa"/>
              <w:right w:w="10" w:type="dxa"/>
            </w:tcMar>
            <w:vAlign w:val="center"/>
          </w:tcPr>
          <w:p w14:paraId="1A10506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154 </w:t>
            </w:r>
          </w:p>
        </w:tc>
        <w:tc>
          <w:tcPr>
            <w:tcW w:w="775" w:type="dxa"/>
            <w:shd w:val="clear" w:color="auto" w:fill="auto"/>
            <w:tcMar>
              <w:top w:w="10" w:type="dxa"/>
              <w:left w:w="10" w:type="dxa"/>
              <w:right w:w="10" w:type="dxa"/>
            </w:tcMar>
            <w:vAlign w:val="center"/>
          </w:tcPr>
          <w:p w14:paraId="13EEC7B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45E53B4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对地下工程建设给地下水补给、径流、排泄等造成重大不利影响，且逾期不采取措施消除不利影响行为的行政强制</w:t>
            </w:r>
          </w:p>
        </w:tc>
        <w:tc>
          <w:tcPr>
            <w:tcW w:w="548" w:type="dxa"/>
            <w:shd w:val="clear" w:color="auto" w:fill="auto"/>
            <w:tcMar>
              <w:top w:w="10" w:type="dxa"/>
              <w:left w:w="10" w:type="dxa"/>
              <w:right w:w="10" w:type="dxa"/>
            </w:tcMar>
            <w:vAlign w:val="center"/>
          </w:tcPr>
          <w:p w14:paraId="10906B8A">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09D76D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6C29F8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4356E08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第二十六条 建设单位和个人应当采取措施防止地下工程建设对地下水补给、径流、排泄等造成重大不利影响。对开挖达到一定深度或者达到一定排水规模的地下工程，建设单位和个人应当于工程开工前，将工程建设方案和防止对地下水产生不利影响的措施方案报有管理权限的水行政主管部门备案。开挖深度和排水规模由省、自治区、直辖市人民政府制定、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第五十七条第一款 地下工程建设对地下水补给、径流、排泄等造成重大不利影响的，由县级以上地方人民政府水行政主管部门责令限期采取措施消除不利影响，处10万元以上50万元以下罚款；逾期不采取措施消除不利影响的，由县级以上地方人民政府水行政主管部门组织采取措施消除不利影响，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349133B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建设地下工程给地下水补给、径流、排泄等造成重大不利影响，且逾期不采取措施消除不利影响的行为，催告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7190BA9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7CF1498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146FDFA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1614D4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A4A8981">
            <w:pPr>
              <w:jc w:val="center"/>
              <w:rPr>
                <w:rFonts w:hint="default" w:ascii="仿宋_GB2312" w:hAnsi="宋体" w:eastAsia="仿宋_GB2312" w:cs="仿宋_GB2312"/>
                <w:i w:val="0"/>
                <w:iCs w:val="0"/>
                <w:strike w:val="0"/>
                <w:dstrike w:val="0"/>
                <w:color w:val="auto"/>
                <w:sz w:val="21"/>
                <w:szCs w:val="21"/>
                <w:u w:val="none"/>
              </w:rPr>
            </w:pPr>
          </w:p>
        </w:tc>
      </w:tr>
      <w:tr w14:paraId="3F34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1BB1B3E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155 </w:t>
            </w:r>
          </w:p>
        </w:tc>
        <w:tc>
          <w:tcPr>
            <w:tcW w:w="775" w:type="dxa"/>
            <w:shd w:val="clear" w:color="auto" w:fill="auto"/>
            <w:tcMar>
              <w:top w:w="10" w:type="dxa"/>
              <w:left w:w="10" w:type="dxa"/>
              <w:right w:w="10" w:type="dxa"/>
            </w:tcMar>
            <w:vAlign w:val="center"/>
          </w:tcPr>
          <w:p w14:paraId="520EACD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65C074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对报废的矿井、钻井、地下水取水工程，或者未建成、已完成勘探任务、依法应当停止取水的地下水取水工程，未按照规定封井或者回填，且不具备封井或者回填能力行为的行政强制</w:t>
            </w:r>
          </w:p>
        </w:tc>
        <w:tc>
          <w:tcPr>
            <w:tcW w:w="548" w:type="dxa"/>
            <w:shd w:val="clear" w:color="auto" w:fill="auto"/>
            <w:tcMar>
              <w:top w:w="10" w:type="dxa"/>
              <w:left w:w="10" w:type="dxa"/>
              <w:right w:w="10" w:type="dxa"/>
            </w:tcMar>
            <w:vAlign w:val="center"/>
          </w:tcPr>
          <w:p w14:paraId="467D97B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B55D3F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8080B7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53858AA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第五十八条 报废的矿井、钻井、地下水取水工程，或者未建成、已完成勘探任务、依法应当停止取水的地下水取水工程，未按照规定封井或者回填的，由县级以上地方人民政府或者其授权的部门责令封井或者回填，处10万元以上50万元以下罚款；不具备封井或者回填能力的，由县级以上地方人民政府或者其授权的部门组织封井或者回填，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073E29D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报废的矿井、钻井、地下水取水工程，或者未建成、已完成勘探任务、依法应当停止取水的地下水取水工程，未按照规定封井或者回填，且不具备封井或者回填能力的行为，催告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4.事后监管责任：检查封井或者回填情况。</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54127B6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38E7708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251D3A7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553DE01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E9ACE28">
            <w:pPr>
              <w:jc w:val="center"/>
              <w:rPr>
                <w:rFonts w:hint="default" w:ascii="仿宋_GB2312" w:hAnsi="宋体" w:eastAsia="仿宋_GB2312" w:cs="仿宋_GB2312"/>
                <w:i w:val="0"/>
                <w:iCs w:val="0"/>
                <w:strike w:val="0"/>
                <w:dstrike w:val="0"/>
                <w:color w:val="auto"/>
                <w:sz w:val="21"/>
                <w:szCs w:val="21"/>
                <w:u w:val="none"/>
              </w:rPr>
            </w:pPr>
          </w:p>
        </w:tc>
      </w:tr>
      <w:tr w14:paraId="7F77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17C014C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156 </w:t>
            </w:r>
          </w:p>
        </w:tc>
        <w:tc>
          <w:tcPr>
            <w:tcW w:w="775" w:type="dxa"/>
            <w:shd w:val="clear" w:color="auto" w:fill="auto"/>
            <w:tcMar>
              <w:top w:w="10" w:type="dxa"/>
              <w:left w:w="10" w:type="dxa"/>
              <w:right w:w="10" w:type="dxa"/>
            </w:tcMar>
            <w:vAlign w:val="center"/>
          </w:tcPr>
          <w:p w14:paraId="6F2EB4C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7F49C1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对侵占、毁坏或者擅自移动地下水监测设施设备及其标志，逾期不采取补救措施行为的行政强制</w:t>
            </w:r>
          </w:p>
        </w:tc>
        <w:tc>
          <w:tcPr>
            <w:tcW w:w="548" w:type="dxa"/>
            <w:shd w:val="clear" w:color="auto" w:fill="auto"/>
            <w:tcMar>
              <w:top w:w="10" w:type="dxa"/>
              <w:left w:w="10" w:type="dxa"/>
              <w:right w:w="10" w:type="dxa"/>
            </w:tcMar>
            <w:vAlign w:val="center"/>
          </w:tcPr>
          <w:p w14:paraId="6B66AF8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EE16D0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69FD5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45DA83B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fldChar w:fldCharType="begin"/>
            </w:r>
            <w:r>
              <w:rPr>
                <w:rFonts w:hint="default" w:ascii="仿宋_GB2312" w:hAnsi="宋体" w:eastAsia="仿宋_GB2312" w:cs="仿宋_GB2312"/>
                <w:i w:val="0"/>
                <w:iCs w:val="0"/>
                <w:strike w:val="0"/>
                <w:dstrike w:val="0"/>
                <w:color w:val="auto"/>
                <w:sz w:val="21"/>
                <w:szCs w:val="21"/>
                <w:u w:val="none"/>
              </w:rPr>
              <w:instrText xml:space="preserve"> HYPERLINK "https://baike.baidu.com/item/%E4%B8%AD%E5%8D%8E%E4%BA%BA%E6%B0%91%E5%85%B1%E5%92%8C%E5%9B%BD%E5%9B%BD%E5%8A%A1%E9%99%A2%E4%BB%A4%EF%BC%88%E7%AC%AC748%E5%8F%B7%EF%BC%89/59158263?fromModule=lemma_inlink" \o "https://baike.baidu.com/item/%E4%B8%AD%E5%8D%8E%E4%BA%BA%E6%B0%91%E5%85%B1%E5%92%8C%E5%9B%BD%E5%9B%BD%E5%8A%A1%E9%99%A2%E4%BB%A4%EF%BC%88%E7%AC%AC748%E5%8F%B7%EF%BC%89/59158263?fromModule=lemma_inlink" \t "_parent" </w:instrText>
            </w:r>
            <w:r>
              <w:rPr>
                <w:rFonts w:hint="default" w:ascii="仿宋_GB2312" w:hAnsi="宋体" w:eastAsia="仿宋_GB2312" w:cs="仿宋_GB2312"/>
                <w:i w:val="0"/>
                <w:iCs w:val="0"/>
                <w:strike w:val="0"/>
                <w:dstrike w:val="0"/>
                <w:color w:val="auto"/>
                <w:sz w:val="21"/>
                <w:szCs w:val="21"/>
                <w:u w:val="none"/>
              </w:rPr>
              <w:fldChar w:fldCharType="separate"/>
            </w:r>
            <w:r>
              <w:rPr>
                <w:rStyle w:val="12"/>
                <w:rFonts w:hint="default" w:ascii="仿宋_GB2312" w:hAnsi="宋体" w:eastAsia="仿宋_GB2312" w:cs="仿宋_GB2312"/>
                <w:i w:val="0"/>
                <w:iCs w:val="0"/>
                <w:strike w:val="0"/>
                <w:dstrike w:val="0"/>
                <w:color w:val="auto"/>
                <w:sz w:val="21"/>
                <w:szCs w:val="21"/>
                <w:u w:val="none"/>
              </w:rPr>
              <w:t>1.【行政法规】《地下水管理条例》（2021年国务院令第748号公布）</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第四十七条第一款 任何单位和个人不得侵占、毁坏或者擅自移动地下水监测设施设备及其标志。</w:t>
            </w:r>
            <w:r>
              <w:rPr>
                <w:rStyle w:val="12"/>
                <w:rFonts w:hint="default" w:ascii="仿宋_GB2312" w:hAnsi="宋体" w:eastAsia="仿宋_GB2312" w:cs="仿宋_GB2312"/>
                <w:i w:val="0"/>
                <w:iCs w:val="0"/>
                <w:strike w:val="0"/>
                <w:dstrike w:val="0"/>
                <w:color w:val="auto"/>
                <w:sz w:val="21"/>
                <w:szCs w:val="21"/>
                <w:u w:val="none"/>
              </w:rPr>
              <w:br w:type="textWrapping"/>
            </w:r>
            <w:r>
              <w:rPr>
                <w:rStyle w:val="12"/>
                <w:rFonts w:hint="default" w:ascii="仿宋_GB2312" w:hAnsi="宋体" w:eastAsia="仿宋_GB2312" w:cs="仿宋_GB2312"/>
                <w:i w:val="0"/>
                <w:iCs w:val="0"/>
                <w:strike w:val="0"/>
                <w:dstrike w:val="0"/>
                <w:color w:val="auto"/>
                <w:sz w:val="21"/>
                <w:szCs w:val="21"/>
                <w:u w:val="none"/>
              </w:rPr>
              <w:t>第六十条 侵占、毁坏或者擅自移动地下水监测设施设备及其标志的，由县级以上地方人民政府水行政、自然资源、生态环境主管部门责令停止违法行为，限期采取补救措施，处2万元以上10万元以下罚款；逾期不采取补救措施的，由县级以上地方人民政府水行政、自然资源、生态环境主管部门组织补救，所需费用由违法行为人承担。</w:t>
            </w:r>
            <w:r>
              <w:rPr>
                <w:rFonts w:hint="default" w:ascii="仿宋_GB2312" w:hAnsi="宋体" w:eastAsia="仿宋_GB2312" w:cs="仿宋_GB2312"/>
                <w:i w:val="0"/>
                <w:iCs w:val="0"/>
                <w:strike w:val="0"/>
                <w:dstrike w:val="0"/>
                <w:color w:val="auto"/>
                <w:sz w:val="21"/>
                <w:szCs w:val="21"/>
                <w:u w:val="none"/>
              </w:rPr>
              <w:fldChar w:fldCharType="end"/>
            </w:r>
          </w:p>
        </w:tc>
        <w:tc>
          <w:tcPr>
            <w:tcW w:w="4075" w:type="dxa"/>
            <w:shd w:val="clear" w:color="auto" w:fill="auto"/>
            <w:tcMar>
              <w:top w:w="10" w:type="dxa"/>
              <w:left w:w="10" w:type="dxa"/>
              <w:right w:w="10" w:type="dxa"/>
            </w:tcMar>
            <w:vAlign w:val="center"/>
          </w:tcPr>
          <w:p w14:paraId="7ED5B79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1.审查催告责任：审查当事人是否存在侵占、毁坏或者擅自移动地下水监测设施设备及其标志，逾期不采取补救措施的行为，催告当事人履行义务，制作催告书，并予以公告；（水土保持与水资源科）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132F335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65F88C3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0C6D71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1B88B5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06C413A">
            <w:pPr>
              <w:jc w:val="center"/>
              <w:rPr>
                <w:rFonts w:hint="default" w:ascii="仿宋_GB2312" w:hAnsi="宋体" w:eastAsia="仿宋_GB2312" w:cs="仿宋_GB2312"/>
                <w:i w:val="0"/>
                <w:iCs w:val="0"/>
                <w:strike w:val="0"/>
                <w:dstrike w:val="0"/>
                <w:color w:val="auto"/>
                <w:sz w:val="21"/>
                <w:szCs w:val="21"/>
                <w:u w:val="none"/>
              </w:rPr>
            </w:pPr>
          </w:p>
        </w:tc>
      </w:tr>
      <w:tr w14:paraId="7311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049854B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157 </w:t>
            </w:r>
          </w:p>
        </w:tc>
        <w:tc>
          <w:tcPr>
            <w:tcW w:w="775" w:type="dxa"/>
            <w:shd w:val="clear" w:color="auto" w:fill="auto"/>
            <w:tcMar>
              <w:top w:w="10" w:type="dxa"/>
              <w:left w:w="10" w:type="dxa"/>
              <w:right w:w="10" w:type="dxa"/>
            </w:tcMar>
            <w:vAlign w:val="center"/>
          </w:tcPr>
          <w:p w14:paraId="1561782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6906204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对调处水事纠纷各方或者当事人采取临时处置措施的行政强制</w:t>
            </w:r>
          </w:p>
        </w:tc>
        <w:tc>
          <w:tcPr>
            <w:tcW w:w="548" w:type="dxa"/>
            <w:shd w:val="clear" w:color="auto" w:fill="auto"/>
            <w:tcMar>
              <w:top w:w="10" w:type="dxa"/>
              <w:left w:w="10" w:type="dxa"/>
              <w:right w:w="10" w:type="dxa"/>
            </w:tcMar>
            <w:vAlign w:val="center"/>
          </w:tcPr>
          <w:p w14:paraId="6A0DB47F">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00BD27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2760A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农村水利水电科</w:t>
            </w:r>
          </w:p>
        </w:tc>
        <w:tc>
          <w:tcPr>
            <w:tcW w:w="2789" w:type="dxa"/>
            <w:shd w:val="clear" w:color="auto" w:fill="auto"/>
            <w:tcMar>
              <w:top w:w="10" w:type="dxa"/>
              <w:left w:w="10" w:type="dxa"/>
              <w:right w:w="10" w:type="dxa"/>
            </w:tcMar>
            <w:vAlign w:val="center"/>
          </w:tcPr>
          <w:p w14:paraId="3E8560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第五十八条 县级以上人民政府或者其授权的部门在处理水事纠纷时，有权采取临时处置措施，有关各方或者当事人必须服从。</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2.【行政法规】《中华人民共和国防汛条例》（1991年国务院令第86号发布，2011年国务院令第588号修订）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第十九条 地区之间在防汛抗洪方面发生的水事纠纷，由发生纠纷地区共同的上一级人民政府或其授权的主管部门处理。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前款所指人民政府或者部门在处理防汛抗洪方面的水事纠纷时，有权采取临时紧急处置措施，有关当事各方必须服从并贯彻执行。</w:t>
            </w:r>
          </w:p>
        </w:tc>
        <w:tc>
          <w:tcPr>
            <w:tcW w:w="4075" w:type="dxa"/>
            <w:shd w:val="clear" w:color="auto" w:fill="auto"/>
            <w:tcMar>
              <w:top w:w="10" w:type="dxa"/>
              <w:left w:w="10" w:type="dxa"/>
              <w:right w:w="10" w:type="dxa"/>
            </w:tcMar>
            <w:vAlign w:val="center"/>
          </w:tcPr>
          <w:p w14:paraId="5D922E1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1.审查催告责任：审查调处水事纠纷各方或者当事人施是否存在需采取临时处置措施的行为，催告纠纷各方或者当事人履行义务，制作催告书，并予以公告；（农村水利水电科）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4.事后监管责任：检查纠纷调处情况。（农村水利水电科）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5.其他法律法规规章文件规定应履行的责任。（农村水利水电科）</w:t>
            </w:r>
          </w:p>
        </w:tc>
        <w:tc>
          <w:tcPr>
            <w:tcW w:w="8460" w:type="dxa"/>
            <w:shd w:val="clear" w:color="auto" w:fill="auto"/>
            <w:tcMar>
              <w:top w:w="10" w:type="dxa"/>
              <w:left w:w="10" w:type="dxa"/>
              <w:right w:w="10" w:type="dxa"/>
            </w:tcMar>
            <w:vAlign w:val="center"/>
          </w:tcPr>
          <w:p w14:paraId="52C63F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7A341F6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22CF1E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2AF76CD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5DFE81B">
            <w:pPr>
              <w:jc w:val="center"/>
              <w:rPr>
                <w:rFonts w:hint="default" w:ascii="仿宋_GB2312" w:hAnsi="宋体" w:eastAsia="仿宋_GB2312" w:cs="仿宋_GB2312"/>
                <w:i w:val="0"/>
                <w:iCs w:val="0"/>
                <w:strike w:val="0"/>
                <w:dstrike w:val="0"/>
                <w:color w:val="auto"/>
                <w:sz w:val="21"/>
                <w:szCs w:val="21"/>
                <w:u w:val="none"/>
              </w:rPr>
            </w:pPr>
          </w:p>
        </w:tc>
      </w:tr>
      <w:tr w14:paraId="13F7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0F33293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158 </w:t>
            </w:r>
          </w:p>
        </w:tc>
        <w:tc>
          <w:tcPr>
            <w:tcW w:w="775" w:type="dxa"/>
            <w:shd w:val="clear" w:color="auto" w:fill="auto"/>
            <w:tcMar>
              <w:top w:w="10" w:type="dxa"/>
              <w:left w:w="10" w:type="dxa"/>
              <w:right w:w="10" w:type="dxa"/>
            </w:tcMar>
            <w:vAlign w:val="center"/>
          </w:tcPr>
          <w:p w14:paraId="2CB2784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5CFF166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对不符合水能资源开发利用规划的水能资源开发行为的行政强制</w:t>
            </w:r>
          </w:p>
        </w:tc>
        <w:tc>
          <w:tcPr>
            <w:tcW w:w="548" w:type="dxa"/>
            <w:shd w:val="clear" w:color="auto" w:fill="auto"/>
            <w:tcMar>
              <w:top w:w="10" w:type="dxa"/>
              <w:left w:w="10" w:type="dxa"/>
              <w:right w:w="10" w:type="dxa"/>
            </w:tcMar>
            <w:vAlign w:val="center"/>
          </w:tcPr>
          <w:p w14:paraId="40BE021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A0B38C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AF84C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农村水利水电科</w:t>
            </w:r>
          </w:p>
        </w:tc>
        <w:tc>
          <w:tcPr>
            <w:tcW w:w="2789" w:type="dxa"/>
            <w:shd w:val="clear" w:color="auto" w:fill="auto"/>
            <w:tcMar>
              <w:top w:w="10" w:type="dxa"/>
              <w:left w:w="10" w:type="dxa"/>
              <w:right w:w="10" w:type="dxa"/>
            </w:tcMar>
            <w:vAlign w:val="center"/>
          </w:tcPr>
          <w:p w14:paraId="410AAE2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第三十二条 违反本条例第十条规定，开发利用不符合水能资源开发利用规划的水能资源的，由县级以上人民政府水行政主管部门责令停止违法行为，限期拆除违法建（构）筑物，恢复原状；逾期不拆除的，强行拆除，所需费用由违法者承担，并处一万元以上十万元以下罚款。</w:t>
            </w:r>
          </w:p>
        </w:tc>
        <w:tc>
          <w:tcPr>
            <w:tcW w:w="4075" w:type="dxa"/>
            <w:shd w:val="clear" w:color="auto" w:fill="auto"/>
            <w:tcMar>
              <w:top w:w="10" w:type="dxa"/>
              <w:left w:w="10" w:type="dxa"/>
              <w:right w:w="10" w:type="dxa"/>
            </w:tcMar>
            <w:vAlign w:val="center"/>
          </w:tcPr>
          <w:p w14:paraId="1499EA1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1.审查催告责任：审查当事人是否存在不符合水能资源开发利用规划的水能资源开发行为，催告纠纷各方或者当事人履行义务，制作催告书，并予以公告；（农村水利水电科）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4.事后监管责任：检查违法建（构）筑物拆除，恢复原状情况。（农村水利水电科）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5.其他法律法规规章文件规定应履行的责任。（农村水利水电科）</w:t>
            </w:r>
          </w:p>
        </w:tc>
        <w:tc>
          <w:tcPr>
            <w:tcW w:w="8460" w:type="dxa"/>
            <w:shd w:val="clear" w:color="auto" w:fill="auto"/>
            <w:tcMar>
              <w:top w:w="10" w:type="dxa"/>
              <w:left w:w="10" w:type="dxa"/>
              <w:right w:w="10" w:type="dxa"/>
            </w:tcMar>
            <w:vAlign w:val="center"/>
          </w:tcPr>
          <w:p w14:paraId="0B49991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65CC00A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24A5324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7FF367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E8B3FAF">
            <w:pPr>
              <w:jc w:val="center"/>
              <w:rPr>
                <w:rFonts w:hint="default" w:ascii="仿宋_GB2312" w:hAnsi="宋体" w:eastAsia="仿宋_GB2312" w:cs="仿宋_GB2312"/>
                <w:i w:val="0"/>
                <w:iCs w:val="0"/>
                <w:strike w:val="0"/>
                <w:dstrike w:val="0"/>
                <w:color w:val="auto"/>
                <w:sz w:val="21"/>
                <w:szCs w:val="21"/>
                <w:u w:val="none"/>
              </w:rPr>
            </w:pPr>
          </w:p>
        </w:tc>
      </w:tr>
      <w:tr w14:paraId="6E6A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6C58C2B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159 </w:t>
            </w:r>
          </w:p>
        </w:tc>
        <w:tc>
          <w:tcPr>
            <w:tcW w:w="775" w:type="dxa"/>
            <w:shd w:val="clear" w:color="auto" w:fill="auto"/>
            <w:tcMar>
              <w:top w:w="10" w:type="dxa"/>
              <w:left w:w="10" w:type="dxa"/>
              <w:right w:w="10" w:type="dxa"/>
            </w:tcMar>
            <w:vAlign w:val="center"/>
          </w:tcPr>
          <w:p w14:paraId="1E86BFD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45C2F3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对河道管理范围内建设妨碍行洪的建筑物、构筑物，或者从事影响河势稳定、危害河岸堤防安全和其他妨碍河道行洪的活动责令限期拆除或者恢复原状，逾期不拆除、不恢复原状等行为的行政强制</w:t>
            </w:r>
          </w:p>
        </w:tc>
        <w:tc>
          <w:tcPr>
            <w:tcW w:w="548" w:type="dxa"/>
            <w:shd w:val="clear" w:color="auto" w:fill="auto"/>
            <w:tcMar>
              <w:top w:w="10" w:type="dxa"/>
              <w:left w:w="10" w:type="dxa"/>
              <w:right w:w="10" w:type="dxa"/>
            </w:tcMar>
            <w:vAlign w:val="center"/>
          </w:tcPr>
          <w:p w14:paraId="45BCB33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8D37EA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234BD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河长制工作科</w:t>
            </w:r>
          </w:p>
        </w:tc>
        <w:tc>
          <w:tcPr>
            <w:tcW w:w="2789" w:type="dxa"/>
            <w:shd w:val="clear" w:color="auto" w:fill="auto"/>
            <w:tcMar>
              <w:top w:w="10" w:type="dxa"/>
              <w:left w:w="10" w:type="dxa"/>
              <w:right w:w="10" w:type="dxa"/>
            </w:tcMar>
            <w:vAlign w:val="center"/>
          </w:tcPr>
          <w:p w14:paraId="5B6FA47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第六十五条第一款 在河道管理范围内建设妨碍行洪的建筑物、构筑物，或者从事影响河势稳定、危害河岸堤防安全和其他妨碍河道行洪的活动的，由县级以上人民政府水行政主管部门或者流域管理机构依据职权，责令停止违法行为，限期拆除违法建筑物、构筑物，恢复原状；逾期不拆除、不恢复原状的，强行拆除，所需费用由违法单位或者个人负担，并处一万元以上十万元以下的罚款。</w:t>
            </w:r>
          </w:p>
        </w:tc>
        <w:tc>
          <w:tcPr>
            <w:tcW w:w="4075" w:type="dxa"/>
            <w:shd w:val="clear" w:color="auto" w:fill="auto"/>
            <w:tcMar>
              <w:top w:w="10" w:type="dxa"/>
              <w:left w:w="10" w:type="dxa"/>
              <w:right w:w="10" w:type="dxa"/>
            </w:tcMar>
            <w:vAlign w:val="center"/>
          </w:tcPr>
          <w:p w14:paraId="169587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在河道管理范围内建设妨碍行洪的建筑物、构筑物，或者从事影响河势稳定、危害河岸堤防安全和其他妨碍河道行洪的活动责令限期拆除或者恢复原状，逾期不拆除、不恢复原状的行为，催告纠纷各方或者当事人履行义务，制作催告书，并予以公告；（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4.事后监管责任：检查违法建（构）筑物拆除，恢复原状情况。（河长制工作科）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5.其他法律法规规章文件规定应履行的责任。（河长制工作科）</w:t>
            </w:r>
          </w:p>
        </w:tc>
        <w:tc>
          <w:tcPr>
            <w:tcW w:w="8460" w:type="dxa"/>
            <w:shd w:val="clear" w:color="auto" w:fill="auto"/>
            <w:tcMar>
              <w:top w:w="10" w:type="dxa"/>
              <w:left w:w="10" w:type="dxa"/>
              <w:right w:w="10" w:type="dxa"/>
            </w:tcMar>
            <w:vAlign w:val="center"/>
          </w:tcPr>
          <w:p w14:paraId="14DB84D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6C2F98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744D96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14BD75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295FB0C">
            <w:pPr>
              <w:jc w:val="center"/>
              <w:rPr>
                <w:rFonts w:hint="default" w:ascii="仿宋_GB2312" w:hAnsi="宋体" w:eastAsia="仿宋_GB2312" w:cs="仿宋_GB2312"/>
                <w:i w:val="0"/>
                <w:iCs w:val="0"/>
                <w:strike w:val="0"/>
                <w:dstrike w:val="0"/>
                <w:color w:val="auto"/>
                <w:sz w:val="21"/>
                <w:szCs w:val="21"/>
                <w:u w:val="none"/>
              </w:rPr>
            </w:pPr>
          </w:p>
        </w:tc>
      </w:tr>
      <w:tr w14:paraId="3909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0A8A0CA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160 </w:t>
            </w:r>
          </w:p>
        </w:tc>
        <w:tc>
          <w:tcPr>
            <w:tcW w:w="775" w:type="dxa"/>
            <w:shd w:val="clear" w:color="auto" w:fill="auto"/>
            <w:tcMar>
              <w:top w:w="10" w:type="dxa"/>
              <w:left w:w="10" w:type="dxa"/>
              <w:right w:w="10" w:type="dxa"/>
            </w:tcMar>
            <w:vAlign w:val="center"/>
          </w:tcPr>
          <w:p w14:paraId="3A199FC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59703E3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对堆放阻碍农田水利工程设施蓄水、输水、排水的物体，擅自占用农业灌溉水源、农田水利工程设施等行为，且逾期不恢复原状或者采取补救措施行为的行政强制</w:t>
            </w:r>
          </w:p>
        </w:tc>
        <w:tc>
          <w:tcPr>
            <w:tcW w:w="548" w:type="dxa"/>
            <w:shd w:val="clear" w:color="auto" w:fill="auto"/>
            <w:tcMar>
              <w:top w:w="10" w:type="dxa"/>
              <w:left w:w="10" w:type="dxa"/>
              <w:right w:w="10" w:type="dxa"/>
            </w:tcMar>
            <w:vAlign w:val="center"/>
          </w:tcPr>
          <w:p w14:paraId="7A947C6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00BEF0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7F135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农村水利水电科</w:t>
            </w:r>
          </w:p>
        </w:tc>
        <w:tc>
          <w:tcPr>
            <w:tcW w:w="2789" w:type="dxa"/>
            <w:shd w:val="clear" w:color="auto" w:fill="auto"/>
            <w:tcMar>
              <w:top w:w="10" w:type="dxa"/>
              <w:left w:w="10" w:type="dxa"/>
              <w:right w:w="10" w:type="dxa"/>
            </w:tcMar>
            <w:vAlign w:val="center"/>
          </w:tcPr>
          <w:p w14:paraId="1C4BA5F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1.【行政法规】《农田水利条例》（2016年国务院令第669号发布）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违反本条例规定，有下列行为之一的，由县级以上地方人民政府水行政主管部门责令停止违法行为，限期恢复原状或者采取补救措施；逾期不恢复原状或者采取补救措施的，依法强制执行；造成损失的，依法承担民事责任；构成违反治安管理行为的，依法给予治安管理处罚；构成犯罪的，依法追究刑事责任：（一）堆放阻碍农田水利工程设施蓄水、输水、排水的物体；（二）建设妨碍农田水利工程设施蓄水、输水、排水的建筑物和构筑物；（三）擅自占用农业灌溉水源、农田水利工程设施。</w:t>
            </w:r>
          </w:p>
        </w:tc>
        <w:tc>
          <w:tcPr>
            <w:tcW w:w="4075" w:type="dxa"/>
            <w:shd w:val="clear" w:color="auto" w:fill="auto"/>
            <w:tcMar>
              <w:top w:w="10" w:type="dxa"/>
              <w:left w:w="10" w:type="dxa"/>
              <w:right w:w="10" w:type="dxa"/>
            </w:tcMar>
            <w:vAlign w:val="center"/>
          </w:tcPr>
          <w:p w14:paraId="4B6A63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堆放阻碍农田水利工程设施蓄水、输水、排水的物体，擅自占用农业灌溉水源、农田水利工程设施等行为，且逾期不恢复原状或者采取补救措施的行为，催告纠纷各方或者当事人履行义务，制作催告书，并予以公告；（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4.事后监管责任：检查补救措施执行情况、恢复原状情况。（农村水利水电科）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5.其他法律法规规章文件规定应履行的责任。（农村水利水电科）</w:t>
            </w:r>
          </w:p>
        </w:tc>
        <w:tc>
          <w:tcPr>
            <w:tcW w:w="8460" w:type="dxa"/>
            <w:shd w:val="clear" w:color="auto" w:fill="auto"/>
            <w:tcMar>
              <w:top w:w="10" w:type="dxa"/>
              <w:left w:w="10" w:type="dxa"/>
              <w:right w:w="10" w:type="dxa"/>
            </w:tcMar>
            <w:vAlign w:val="center"/>
          </w:tcPr>
          <w:p w14:paraId="2C29103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61E646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57C8C20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723F1F9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14501E0">
            <w:pPr>
              <w:jc w:val="center"/>
              <w:rPr>
                <w:rFonts w:hint="default" w:ascii="仿宋_GB2312" w:hAnsi="宋体" w:eastAsia="仿宋_GB2312" w:cs="仿宋_GB2312"/>
                <w:i w:val="0"/>
                <w:iCs w:val="0"/>
                <w:strike w:val="0"/>
                <w:dstrike w:val="0"/>
                <w:color w:val="auto"/>
                <w:sz w:val="21"/>
                <w:szCs w:val="21"/>
                <w:u w:val="none"/>
              </w:rPr>
            </w:pPr>
          </w:p>
        </w:tc>
      </w:tr>
      <w:tr w14:paraId="7EAE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3A19313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161 </w:t>
            </w:r>
          </w:p>
        </w:tc>
        <w:tc>
          <w:tcPr>
            <w:tcW w:w="775" w:type="dxa"/>
            <w:shd w:val="clear" w:color="auto" w:fill="auto"/>
            <w:tcMar>
              <w:top w:w="10" w:type="dxa"/>
              <w:left w:w="10" w:type="dxa"/>
              <w:right w:w="10" w:type="dxa"/>
            </w:tcMar>
            <w:vAlign w:val="center"/>
          </w:tcPr>
          <w:p w14:paraId="356B801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74A0A30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对拒不停止违法行为造成严重水土流失行为的行政强制</w:t>
            </w:r>
          </w:p>
        </w:tc>
        <w:tc>
          <w:tcPr>
            <w:tcW w:w="548" w:type="dxa"/>
            <w:shd w:val="clear" w:color="auto" w:fill="auto"/>
            <w:tcMar>
              <w:top w:w="10" w:type="dxa"/>
              <w:left w:w="10" w:type="dxa"/>
              <w:right w:w="10" w:type="dxa"/>
            </w:tcMar>
            <w:vAlign w:val="center"/>
          </w:tcPr>
          <w:p w14:paraId="042A66BD">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7DA511A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1C85838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7CF8018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水政监督检查人员依法履行监督检查职责时，有权采取下列措施：（一）要求被检查单位或者个人提供有关文件、证照、资料；（二）要求被检查单位或者个人就预防和治理水土流失的有关情况作出说明；（三）进入现场进行调查、取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被检查单位或者个人拒不停止违法行为，造成严重水土流失的，报经水行政主管部门批准，可以查封、扣押实施违法行为的工具及施工机械、设备等。</w:t>
            </w:r>
          </w:p>
        </w:tc>
        <w:tc>
          <w:tcPr>
            <w:tcW w:w="4075" w:type="dxa"/>
            <w:shd w:val="clear" w:color="auto" w:fill="auto"/>
            <w:tcMar>
              <w:top w:w="10" w:type="dxa"/>
              <w:left w:w="10" w:type="dxa"/>
              <w:right w:w="10" w:type="dxa"/>
            </w:tcMar>
            <w:vAlign w:val="center"/>
          </w:tcPr>
          <w:p w14:paraId="37E7EDB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1.审查催告责任：审查当事人是否存在拒不停止违法行为造成严重水土流失的行为，催告纠纷各方或者当事人履行义务，制作催告书，并予以公告；（水土保持与水资源科）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552EA6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0F749C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4809469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768FF9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eastAsia="zh-CN"/>
              </w:rPr>
              <w:t>2</w:t>
            </w:r>
            <w:r>
              <w:rPr>
                <w:rFonts w:hint="eastAsia" w:ascii="仿宋_GB2312" w:hAnsi="宋体" w:eastAsia="仿宋_GB2312" w:cs="仿宋_GB2312"/>
                <w:i w:val="0"/>
                <w:iCs w:val="0"/>
                <w:strike w:val="0"/>
                <w:dstrike w:val="0"/>
                <w:color w:val="auto"/>
                <w:sz w:val="21"/>
                <w:szCs w:val="21"/>
                <w:u w:val="none"/>
                <w:lang w:val="en-US" w:eastAsia="zh-CN"/>
              </w:rPr>
              <w:t>22222222</w:t>
            </w:r>
          </w:p>
        </w:tc>
        <w:tc>
          <w:tcPr>
            <w:tcW w:w="500" w:type="dxa"/>
            <w:shd w:val="clear" w:color="auto" w:fill="auto"/>
            <w:tcMar>
              <w:top w:w="10" w:type="dxa"/>
              <w:left w:w="10" w:type="dxa"/>
              <w:right w:w="10" w:type="dxa"/>
            </w:tcMar>
            <w:vAlign w:val="center"/>
          </w:tcPr>
          <w:p w14:paraId="3AD8D119">
            <w:pPr>
              <w:jc w:val="center"/>
              <w:rPr>
                <w:rFonts w:hint="default" w:ascii="仿宋_GB2312" w:hAnsi="宋体" w:eastAsia="仿宋_GB2312" w:cs="仿宋_GB2312"/>
                <w:i w:val="0"/>
                <w:iCs w:val="0"/>
                <w:strike w:val="0"/>
                <w:dstrike w:val="0"/>
                <w:color w:val="auto"/>
                <w:sz w:val="21"/>
                <w:szCs w:val="21"/>
                <w:u w:val="none"/>
              </w:rPr>
            </w:pPr>
          </w:p>
        </w:tc>
      </w:tr>
      <w:tr w14:paraId="68B2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7C5420B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162 </w:t>
            </w:r>
          </w:p>
        </w:tc>
        <w:tc>
          <w:tcPr>
            <w:tcW w:w="775" w:type="dxa"/>
            <w:shd w:val="clear" w:color="auto" w:fill="auto"/>
            <w:tcMar>
              <w:top w:w="10" w:type="dxa"/>
              <w:left w:w="10" w:type="dxa"/>
              <w:right w:w="10" w:type="dxa"/>
            </w:tcMar>
            <w:vAlign w:val="center"/>
          </w:tcPr>
          <w:p w14:paraId="7B344B4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052F86D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对逾期不清理在水土保持方案确定的专门存放地以外的区域倾倒砂、石、土、矸石、尾矿、废渣等行为的行政强制</w:t>
            </w:r>
          </w:p>
        </w:tc>
        <w:tc>
          <w:tcPr>
            <w:tcW w:w="548" w:type="dxa"/>
            <w:shd w:val="clear" w:color="auto" w:fill="auto"/>
            <w:tcMar>
              <w:top w:w="10" w:type="dxa"/>
              <w:left w:w="10" w:type="dxa"/>
              <w:right w:w="10" w:type="dxa"/>
            </w:tcMar>
            <w:vAlign w:val="center"/>
          </w:tcPr>
          <w:p w14:paraId="538909D7">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2B8BD85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A9DA62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340D3A0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第五十五条 违反本法规定，在水土保持方案确定的专门存放地以外的区域倾倒砂、石、土、矸石、尾矿、废渣等的，由县级以上地方人民政府水行政主管部门责令停止违法行为，限期清理，按照倾倒数量处每立方米十元以上二十元以下的罚款；逾期仍不清理的，县级以上地方人民政府水行政主管部门可以指定有清理能力的单位代为清理，所需费用由违法行为人承担。</w:t>
            </w:r>
          </w:p>
        </w:tc>
        <w:tc>
          <w:tcPr>
            <w:tcW w:w="4075" w:type="dxa"/>
            <w:shd w:val="clear" w:color="auto" w:fill="auto"/>
            <w:tcMar>
              <w:top w:w="10" w:type="dxa"/>
              <w:left w:w="10" w:type="dxa"/>
              <w:right w:w="10" w:type="dxa"/>
            </w:tcMar>
            <w:vAlign w:val="center"/>
          </w:tcPr>
          <w:p w14:paraId="163BEB5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逾期不清理在水土保持方案确定的专门存放地以外的区域倾倒砂、石、土、矸石、尾矿、废渣等的行为，催告纠纷各方或者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100125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2346EA6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16696F2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53E128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CD6BCDE">
            <w:pPr>
              <w:jc w:val="center"/>
              <w:rPr>
                <w:rFonts w:hint="default" w:ascii="仿宋_GB2312" w:hAnsi="宋体" w:eastAsia="仿宋_GB2312" w:cs="仿宋_GB2312"/>
                <w:i w:val="0"/>
                <w:iCs w:val="0"/>
                <w:strike w:val="0"/>
                <w:dstrike w:val="0"/>
                <w:color w:val="auto"/>
                <w:sz w:val="21"/>
                <w:szCs w:val="21"/>
                <w:u w:val="none"/>
              </w:rPr>
            </w:pPr>
          </w:p>
        </w:tc>
      </w:tr>
      <w:tr w14:paraId="19E8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3A56DFE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163 </w:t>
            </w:r>
          </w:p>
        </w:tc>
        <w:tc>
          <w:tcPr>
            <w:tcW w:w="775" w:type="dxa"/>
            <w:shd w:val="clear" w:color="auto" w:fill="auto"/>
            <w:tcMar>
              <w:top w:w="10" w:type="dxa"/>
              <w:left w:w="10" w:type="dxa"/>
              <w:right w:w="10" w:type="dxa"/>
            </w:tcMar>
            <w:vAlign w:val="center"/>
          </w:tcPr>
          <w:p w14:paraId="4CD2366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6DEE94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对开办生产建设项目或者从事其他生产建设活动造成水土流失逾期仍不治理行为的行政强制</w:t>
            </w:r>
          </w:p>
        </w:tc>
        <w:tc>
          <w:tcPr>
            <w:tcW w:w="548" w:type="dxa"/>
            <w:shd w:val="clear" w:color="auto" w:fill="auto"/>
            <w:tcMar>
              <w:top w:w="10" w:type="dxa"/>
              <w:left w:w="10" w:type="dxa"/>
              <w:right w:w="10" w:type="dxa"/>
            </w:tcMar>
            <w:vAlign w:val="center"/>
          </w:tcPr>
          <w:p w14:paraId="00E494A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62C183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4B9D4E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0ED006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第五十六条 违反本法规定，开办生产建设项目或者从事其他生产建设活动造成水土流失，不进行治理的，由县级以上人民政府水行政主管部门责令限期治理；逾期仍不治理的，县级以上人民政府水行政主管部门可以指定有治理能力的单位代为治理，所需费用由违法行为人承担。</w:t>
            </w:r>
          </w:p>
        </w:tc>
        <w:tc>
          <w:tcPr>
            <w:tcW w:w="4075" w:type="dxa"/>
            <w:shd w:val="clear" w:color="auto" w:fill="auto"/>
            <w:tcMar>
              <w:top w:w="10" w:type="dxa"/>
              <w:left w:w="10" w:type="dxa"/>
              <w:right w:w="10" w:type="dxa"/>
            </w:tcMar>
            <w:vAlign w:val="center"/>
          </w:tcPr>
          <w:p w14:paraId="2C26B8E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1.审查催告责任：审查当事人是否存在开办生产建设项目或者从事其他生产建设活动造成水土流失逾期仍不治理行为，催告纠纷各方或者当事人履行义务，制作催告书，并予以公告；（水土保持与水资源科）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4.事后监管责任：检查整改情况。（水土保持与水资源科）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56BCEC9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21D5E6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2AABEAC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3C67206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E488EDE">
            <w:pPr>
              <w:jc w:val="center"/>
              <w:rPr>
                <w:rFonts w:hint="default" w:ascii="仿宋_GB2312" w:hAnsi="宋体" w:eastAsia="仿宋_GB2312" w:cs="仿宋_GB2312"/>
                <w:i w:val="0"/>
                <w:iCs w:val="0"/>
                <w:strike w:val="0"/>
                <w:dstrike w:val="0"/>
                <w:color w:val="auto"/>
                <w:sz w:val="21"/>
                <w:szCs w:val="21"/>
                <w:u w:val="none"/>
              </w:rPr>
            </w:pPr>
          </w:p>
        </w:tc>
      </w:tr>
      <w:tr w14:paraId="239E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6AFAF56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164 </w:t>
            </w:r>
          </w:p>
        </w:tc>
        <w:tc>
          <w:tcPr>
            <w:tcW w:w="775" w:type="dxa"/>
            <w:shd w:val="clear" w:color="auto" w:fill="auto"/>
            <w:tcMar>
              <w:top w:w="10" w:type="dxa"/>
              <w:left w:w="10" w:type="dxa"/>
              <w:right w:w="10" w:type="dxa"/>
            </w:tcMar>
            <w:vAlign w:val="center"/>
          </w:tcPr>
          <w:p w14:paraId="1E0DC7F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行政强制</w:t>
            </w:r>
          </w:p>
        </w:tc>
        <w:tc>
          <w:tcPr>
            <w:tcW w:w="923" w:type="dxa"/>
            <w:shd w:val="clear" w:color="auto" w:fill="auto"/>
            <w:tcMar>
              <w:top w:w="10" w:type="dxa"/>
              <w:left w:w="10" w:type="dxa"/>
              <w:right w:w="10" w:type="dxa"/>
            </w:tcMar>
            <w:vAlign w:val="center"/>
          </w:tcPr>
          <w:p w14:paraId="10FA251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对逾期不缴纳水土保持补偿费行为的行政强制</w:t>
            </w:r>
          </w:p>
        </w:tc>
        <w:tc>
          <w:tcPr>
            <w:tcW w:w="548" w:type="dxa"/>
            <w:shd w:val="clear" w:color="auto" w:fill="auto"/>
            <w:tcMar>
              <w:top w:w="10" w:type="dxa"/>
              <w:left w:w="10" w:type="dxa"/>
              <w:right w:w="10" w:type="dxa"/>
            </w:tcMar>
            <w:vAlign w:val="center"/>
          </w:tcPr>
          <w:p w14:paraId="66BB280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041745C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0A1659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017D5E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第五十七条 违反本法规定，拒不缴纳水土保持补偿费的，由县级以上人民政府水行政主管部门责令限期缴纳；逾期不缴纳的，自滞纳之日起按日加收滞纳部分万分之五的滞纳金，可以处应缴水土保持补偿费三倍以下的罚款。</w:t>
            </w:r>
          </w:p>
        </w:tc>
        <w:tc>
          <w:tcPr>
            <w:tcW w:w="4075" w:type="dxa"/>
            <w:shd w:val="clear" w:color="auto" w:fill="auto"/>
            <w:tcMar>
              <w:top w:w="10" w:type="dxa"/>
              <w:left w:w="10" w:type="dxa"/>
              <w:right w:w="10" w:type="dxa"/>
            </w:tcMar>
            <w:vAlign w:val="center"/>
          </w:tcPr>
          <w:p w14:paraId="17DF490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1.审查催告责任：审查当事人是否存在逾期不缴纳水土保持补偿费的行为，催告纠纷各方或者当事人履行义务，制作催告书，并予以公告；（水土保持与水资源科）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2.决定阶段责任：听取当事人意见，对当事人提出的事实、理由和证据，进行记录和复核，做出是否采取强制措施的决定，制作行政强制执行决定书；（水土保持与水资源科）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3.实施阶段责任：送达执法文书，实施强制执行或委托没有利害关系的第三人代履行；（水土保持与水资源科）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4.事后监管责任：检查水土保持费补缴情况。（水土保持与水资源科）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0928EE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1-1.【法律】《中华人民共和国行政强制法》第十六条 行政机关履行行政管理职责，依照法律、法规的规定，实施行政强制措施。</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1-2.【法律】《中华人民共和国行政强制法》第三十四条 行政机关依法作出行政决定后，当事人在行政机关决定的期限内不履行义务的，具有行政强制执行权的行政机关依照本章规定强制执行。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2-1.【法律】《中华人民共和国行政强制法》第三十五条 行政机关作出强制执行决定前，应当事先催告当事人履行义务。催告应当以书面形式作出，并载明下列事项：（一）履行义务的期限；（二）履行义务的方式；（三）涉及金钱给付的，应当有明确的金额和给付方式；（四）当事人依法享有的陈述权和申辩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2-2.【法律】《中华人民共和国行政强制法》第三十六条 当事人收到催告书后有权进行陈述和申辩。行政机关应当充分听取当事人的意见，对当事人提出的事实、理由和证据，应当进行记录、复核。当事人提出的事实、理由或者证据成立的，行政机关应当采纳。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3.【法律】《中华人民共和国行政强制法》第五十条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4.同1。</w:t>
            </w:r>
          </w:p>
        </w:tc>
        <w:tc>
          <w:tcPr>
            <w:tcW w:w="3286" w:type="dxa"/>
            <w:shd w:val="clear" w:color="auto" w:fill="auto"/>
            <w:tcMar>
              <w:top w:w="10" w:type="dxa"/>
              <w:left w:w="10" w:type="dxa"/>
              <w:right w:w="10" w:type="dxa"/>
            </w:tcMar>
            <w:vAlign w:val="center"/>
          </w:tcPr>
          <w:p w14:paraId="778147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1.对不符合条件的实施行政强制的；（机关纪委）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2.对应当实施行政强制而未组织行政强制的；（机关纪委）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3.对不当实施行政强制，给行政相对人造成损失的；（机关纪委）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4.违反法定权限、程序实施行政强制，造成群体性事件的；（机关纪委）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5.在实施行政强制中玩忽职守、滥用职权的；（机关纪委）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6.在实施行政强制中有腐败行为的；（机关纪委）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516F3E6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第六十一条 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六）有其他违法实施行政强制情形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行政机关及其工作人员实施行政强制，有下列情形之一的，应当追究行政过错责任：（一）没有事实和法律依据；（二）违反法定程序；（六）其他违反规定实施行政强制的情形。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第六十二条 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四）在冻结存款、汇款法定期间不作出处理决定或者未依法及时解除冻结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行政机关及其工作人员实施行政强制，有下列情形之一的，应当追究行政过错责任：（四）对查封、扣押、没收的财物保管不善，造成毁损；（五）侵犯公民、法人和其他组织合法权益；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7.同5。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8.同5。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9-1.【法律】《中华人民共和国行政强制法》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行政机关工作人员利用职务上的便利，将查封、扣押的场所、设施或者财物据为己有的，由上级行政机关或者有关部门责令改正，依法给予记大过、降级、撤职或者开除的处分。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9-2.【地方政府规章】《广西壮族自治区行政过错责任追究办法》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第十三条　行政机关及其工作人员实施行政强制，有下列情形之一的，应当追究行政过错责任：（三）截留、挪用、私分查封、扣押、没收的财物；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10.【法律】《中华人民共和国行政强制法》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第六十四条 行政机关及其工作人员利用行政强制权为单位或者个人谋取利益的，由上级行政机关或者有关部门责令改正，对直接负责的主管人员和其他直接责任人员依法给予处分。</w:t>
            </w:r>
          </w:p>
        </w:tc>
        <w:tc>
          <w:tcPr>
            <w:tcW w:w="950" w:type="dxa"/>
            <w:shd w:val="clear" w:color="auto" w:fill="auto"/>
            <w:tcMar>
              <w:top w:w="10" w:type="dxa"/>
              <w:left w:w="10" w:type="dxa"/>
              <w:right w:w="10" w:type="dxa"/>
            </w:tcMar>
            <w:vAlign w:val="center"/>
          </w:tcPr>
          <w:p w14:paraId="49DC6B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CFA478F">
            <w:pPr>
              <w:jc w:val="center"/>
              <w:rPr>
                <w:rFonts w:hint="default" w:ascii="仿宋_GB2312" w:hAnsi="宋体" w:eastAsia="仿宋_GB2312" w:cs="仿宋_GB2312"/>
                <w:i w:val="0"/>
                <w:iCs w:val="0"/>
                <w:strike w:val="0"/>
                <w:dstrike w:val="0"/>
                <w:color w:val="auto"/>
                <w:sz w:val="21"/>
                <w:szCs w:val="21"/>
                <w:u w:val="none"/>
              </w:rPr>
            </w:pPr>
          </w:p>
        </w:tc>
      </w:tr>
      <w:tr w14:paraId="5896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5" w:hRule="atLeast"/>
        </w:trPr>
        <w:tc>
          <w:tcPr>
            <w:tcW w:w="537" w:type="dxa"/>
            <w:shd w:val="clear" w:color="auto" w:fill="auto"/>
            <w:tcMar>
              <w:top w:w="10" w:type="dxa"/>
              <w:left w:w="10" w:type="dxa"/>
              <w:right w:w="10" w:type="dxa"/>
            </w:tcMar>
            <w:vAlign w:val="center"/>
          </w:tcPr>
          <w:p w14:paraId="1F66C8A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165 </w:t>
            </w:r>
          </w:p>
        </w:tc>
        <w:tc>
          <w:tcPr>
            <w:tcW w:w="775" w:type="dxa"/>
            <w:shd w:val="clear" w:color="auto" w:fill="auto"/>
            <w:tcMar>
              <w:top w:w="10" w:type="dxa"/>
              <w:left w:w="10" w:type="dxa"/>
              <w:right w:w="10" w:type="dxa"/>
            </w:tcMar>
            <w:vAlign w:val="center"/>
          </w:tcPr>
          <w:p w14:paraId="7F0B54A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行政检查</w:t>
            </w:r>
          </w:p>
        </w:tc>
        <w:tc>
          <w:tcPr>
            <w:tcW w:w="923" w:type="dxa"/>
            <w:shd w:val="clear" w:color="auto" w:fill="auto"/>
            <w:tcMar>
              <w:top w:w="10" w:type="dxa"/>
              <w:left w:w="10" w:type="dxa"/>
              <w:right w:w="10" w:type="dxa"/>
            </w:tcMar>
            <w:vAlign w:val="center"/>
          </w:tcPr>
          <w:p w14:paraId="4983C5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水土保持监督检查</w:t>
            </w:r>
          </w:p>
        </w:tc>
        <w:tc>
          <w:tcPr>
            <w:tcW w:w="548" w:type="dxa"/>
            <w:shd w:val="clear" w:color="auto" w:fill="auto"/>
            <w:tcMar>
              <w:top w:w="10" w:type="dxa"/>
              <w:left w:w="10" w:type="dxa"/>
              <w:right w:w="10" w:type="dxa"/>
            </w:tcMar>
            <w:vAlign w:val="center"/>
          </w:tcPr>
          <w:p w14:paraId="32D1DD0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B24B0D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880D2F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63B02E5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第二十九条 县级以上人民政府水行政主管部门、流域管理机构，应当对生产建设项目水土保持方案的实施情况进行跟踪检查，发现问题及时处理。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第四十三条 县级以上人民政府水行政主管部门负责对水土保持情况进行监督检查。流域管理机构在其管辖范围内可以行使国务院水行政主管部门的监督检查职权。</w:t>
            </w:r>
          </w:p>
        </w:tc>
        <w:tc>
          <w:tcPr>
            <w:tcW w:w="4075" w:type="dxa"/>
            <w:shd w:val="clear" w:color="auto" w:fill="auto"/>
            <w:tcMar>
              <w:top w:w="10" w:type="dxa"/>
              <w:left w:w="10" w:type="dxa"/>
              <w:right w:w="10" w:type="dxa"/>
            </w:tcMar>
            <w:vAlign w:val="center"/>
          </w:tcPr>
          <w:p w14:paraId="1FA037B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1.告知责任：制定检查方案，确定目标、对象和方式，印发检查通知（暗访不通知）。（水土保持与水资源科）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2.检查责任：检查时，执法人员不得少于2人，应当持《检查通知书》或相关证件进行检查。（水土保持与水资源科）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3.处理责任：对检查发现的违法违规行为采取限期整改、约谈督促、移交处罚等处置措施。（水土保持与水资源科）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4.监管责任：对技术服务、施工等其他参建单位工作进行监督。（水土保持与水资源科）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5.其他法律法规规章文件规定应履行的责任。（水土保持与水资源科）</w:t>
            </w:r>
          </w:p>
        </w:tc>
        <w:tc>
          <w:tcPr>
            <w:tcW w:w="8460" w:type="dxa"/>
            <w:shd w:val="clear" w:color="auto" w:fill="auto"/>
            <w:tcMar>
              <w:top w:w="10" w:type="dxa"/>
              <w:left w:w="10" w:type="dxa"/>
              <w:right w:w="10" w:type="dxa"/>
            </w:tcMar>
            <w:vAlign w:val="center"/>
          </w:tcPr>
          <w:p w14:paraId="648E19C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1.【法律】《中华人民共和国水土保持法》第四十三条 县级以上人民政府水行政主管部门负责对水土保持情况进行监督检查。流域管理机构在其管辖范围内可以行使国务院水行政主管部门的监督检查职权。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2.【法律】《中华人民共和国行政处罚法》第三十七条 行政机关在调查或者进行检查时，执法人员不得少于两人，并应当向当事人或者有关人员出示证件。当事人或者有关人员应当如实回答询问，并协助调查或者检查，不得阻挠。询问或者检查应当制作笔录。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执法人员与当事人有直接利害关系的，应当回避。</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3-1.【法律】《中华人民共和国水土保持法》第四十八条 违反本法规定，在崩塌、滑坡危险区或者泥石流易发区从事取土、挖砂、采石等可能造成水土流失的活动的，由县级以上地方人民政府水行政主管部门责令停止违法行为。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3-2.【法律】《中华人民共和国水土保持法》第五十三条 违反本法规定，有下列行为之一的，由县级以上人民政府水行政主管部门责令停止违法行为，限期补办手续。</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3-3.【法律】《中华人民共和国水土保持法》第五十四条 违反本法规定，水土保持设施未经验收或者验收不合格将生产建设项目投产使用的，由县级以上人民政府水行政主管部门责令停止生产或者使用，直至验收合格。</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3-4.【法律】《中华人民共和国水土保持法》第五十五条 违反本法规定，在水土保持方案确定的专门存放地以外的区域倾倒砂、石、土、矸石、尾矿、废渣等的，由县级以上地方人民政府水行政主管部门责令停止违法行为，限期清理。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4.【法律】《中华人民共和国水土保持法》第五条 国务院水行政主管部门主管全国的水土保持工作。国务院水行政主管部门在国家确定的重要江河、湖泊设立的流域管理机构（以下简称流域管理机构），在所管辖范围内依法承担水土保持监督管理职责。县级以上地方人民政府水行政主管部门主管本行政区域的水土保持工作。县级以上人民政府林业、农业、国土资源等有关部门按照各自职责，做好有关的水土流失预防和治理工作。</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5-1.【法律】《中华人民共和国行政处罚法》第三十八条第二款：对情节复杂或者重大违法行为给予较重的行政处罚，行政机关的负责人应当集体讨论决定。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5-2.【法律】《中华人民共和国行政处罚法》第四十条 行政处罚决定书应当在宣告后当场交付当事人；当事人不在场的，行政机关应当在七日内依照民事诉讼法的有关规定，将行政处罚决定书送达当事人。</w:t>
            </w:r>
          </w:p>
        </w:tc>
        <w:tc>
          <w:tcPr>
            <w:tcW w:w="3286" w:type="dxa"/>
            <w:shd w:val="clear" w:color="auto" w:fill="auto"/>
            <w:tcMar>
              <w:top w:w="10" w:type="dxa"/>
              <w:left w:w="10" w:type="dxa"/>
              <w:right w:w="10" w:type="dxa"/>
            </w:tcMar>
            <w:vAlign w:val="center"/>
          </w:tcPr>
          <w:p w14:paraId="41552BE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1.无法定依据或者超越法定权限实施检查的。（机关纪委）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3.违反法定程序实施检查的。（机关纪委）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4.放弃、推诿、拖延、拒绝履行检查职责的。（机关纪委）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5.对发现的违法行为不制止、不纠正的。（机关纪委）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73917E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46D6B0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B029001">
            <w:pPr>
              <w:jc w:val="center"/>
              <w:rPr>
                <w:rFonts w:hint="default" w:ascii="仿宋_GB2312" w:hAnsi="宋体" w:eastAsia="仿宋_GB2312" w:cs="仿宋_GB2312"/>
                <w:i w:val="0"/>
                <w:iCs w:val="0"/>
                <w:strike w:val="0"/>
                <w:dstrike w:val="0"/>
                <w:color w:val="auto"/>
                <w:sz w:val="21"/>
                <w:szCs w:val="21"/>
                <w:u w:val="none"/>
              </w:rPr>
            </w:pPr>
          </w:p>
        </w:tc>
      </w:tr>
      <w:tr w14:paraId="034A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0CEC246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166 </w:t>
            </w:r>
          </w:p>
        </w:tc>
        <w:tc>
          <w:tcPr>
            <w:tcW w:w="775" w:type="dxa"/>
            <w:shd w:val="clear" w:color="auto" w:fill="auto"/>
            <w:tcMar>
              <w:top w:w="10" w:type="dxa"/>
              <w:left w:w="10" w:type="dxa"/>
              <w:right w:w="10" w:type="dxa"/>
            </w:tcMar>
            <w:vAlign w:val="center"/>
          </w:tcPr>
          <w:p w14:paraId="117799A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行政检查</w:t>
            </w:r>
          </w:p>
        </w:tc>
        <w:tc>
          <w:tcPr>
            <w:tcW w:w="923" w:type="dxa"/>
            <w:shd w:val="clear" w:color="auto" w:fill="auto"/>
            <w:tcMar>
              <w:top w:w="10" w:type="dxa"/>
              <w:left w:w="10" w:type="dxa"/>
              <w:right w:w="10" w:type="dxa"/>
            </w:tcMar>
            <w:vAlign w:val="center"/>
          </w:tcPr>
          <w:p w14:paraId="077D8A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水能资源开发利用管理监督检查</w:t>
            </w:r>
          </w:p>
        </w:tc>
        <w:tc>
          <w:tcPr>
            <w:tcW w:w="548" w:type="dxa"/>
            <w:shd w:val="clear" w:color="auto" w:fill="auto"/>
            <w:tcMar>
              <w:top w:w="10" w:type="dxa"/>
              <w:left w:w="10" w:type="dxa"/>
              <w:right w:w="10" w:type="dxa"/>
            </w:tcMar>
            <w:vAlign w:val="center"/>
          </w:tcPr>
          <w:p w14:paraId="6EC7ED8C">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AAD6A6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53D819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农村水利水电科</w:t>
            </w:r>
          </w:p>
        </w:tc>
        <w:tc>
          <w:tcPr>
            <w:tcW w:w="2789" w:type="dxa"/>
            <w:shd w:val="clear" w:color="auto" w:fill="auto"/>
            <w:tcMar>
              <w:top w:w="10" w:type="dxa"/>
              <w:left w:w="10" w:type="dxa"/>
              <w:right w:w="10" w:type="dxa"/>
            </w:tcMar>
            <w:vAlign w:val="center"/>
          </w:tcPr>
          <w:p w14:paraId="4761DD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第六十条 县级以上人民政府水行政主管部门、流域管理机构及其水政监督检查人员履行本法规定的监督检查职责时，有权采取下列措施：（一）要求被检查单位提供有关文件、证照、资料；（二）要求被检查单位就执行本法的有关问题作出说明；（三）进入被检查单位的生产场所进行调查；（四）责令被检查单位停止违反本法的行为，履行法定义务。</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2.【地方性法规】《广西壮族自治区水能资源开发利用管理条例》（2013年自治区第十二届人民代表大会常务委员会公告第9号）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第六条 县级以上人民政府水行政主管部门应当切实履行水能资源开发利用的管理职责,加强对水能资源开发利用规划、项目建设质量和安全生产情况的监督检查，为水能资源开发利用项目业主提供业务指导和服务，受理单位和个人的投诉，及时查处违法行为。</w:t>
            </w:r>
          </w:p>
        </w:tc>
        <w:tc>
          <w:tcPr>
            <w:tcW w:w="4075" w:type="dxa"/>
            <w:shd w:val="clear" w:color="auto" w:fill="auto"/>
            <w:tcMar>
              <w:top w:w="10" w:type="dxa"/>
              <w:left w:w="10" w:type="dxa"/>
              <w:right w:w="10" w:type="dxa"/>
            </w:tcMar>
            <w:vAlign w:val="center"/>
          </w:tcPr>
          <w:p w14:paraId="36E4776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1.选案阶段责任：根据举报或上级安排以及日常管理中发现的问题确定进行检查。（农村水利水电科）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3.审查环节责任：对违法事实、证据资料、调查程序、法律适用、当事人陈述理由等进行审查，提出初步处理意见。（农村水利水电科）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4.告知环节责任：对违法事实、处理依据、处理意见告知，听取当事人陈述申辩。（农村水利水电科）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5.决定环节责任：根据违法事实以及当事人陈述意见作出处理决定，重大案件应组织集体审议。（农村水利水电科）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6.其他法律法规规章文件规定应履行的责任。（农村水利水电科）</w:t>
            </w:r>
          </w:p>
        </w:tc>
        <w:tc>
          <w:tcPr>
            <w:tcW w:w="8460" w:type="dxa"/>
            <w:shd w:val="clear" w:color="auto" w:fill="auto"/>
            <w:tcMar>
              <w:top w:w="10" w:type="dxa"/>
              <w:left w:w="10" w:type="dxa"/>
              <w:right w:w="10" w:type="dxa"/>
            </w:tcMar>
            <w:vAlign w:val="center"/>
          </w:tcPr>
          <w:p w14:paraId="556651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4.同3。</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5.同3。</w:t>
            </w:r>
          </w:p>
        </w:tc>
        <w:tc>
          <w:tcPr>
            <w:tcW w:w="3286" w:type="dxa"/>
            <w:shd w:val="clear" w:color="auto" w:fill="auto"/>
            <w:tcMar>
              <w:top w:w="10" w:type="dxa"/>
              <w:left w:w="10" w:type="dxa"/>
              <w:right w:w="10" w:type="dxa"/>
            </w:tcMar>
            <w:vAlign w:val="center"/>
          </w:tcPr>
          <w:p w14:paraId="621502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1.无法定依据或者超越法定权限实施检查的。（机关纪委）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3.违反法定程序实施检查的。（机关纪委）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4.放弃、推诿、拖延、拒绝履行检查职责的。（机关纪委）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5.对发现的违法行为不制止、不纠正的。（机关纪委）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6A86F6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3CB68A8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DE71C1F">
            <w:pPr>
              <w:jc w:val="center"/>
              <w:rPr>
                <w:rFonts w:hint="default" w:ascii="仿宋_GB2312" w:hAnsi="宋体" w:eastAsia="仿宋_GB2312" w:cs="仿宋_GB2312"/>
                <w:i w:val="0"/>
                <w:iCs w:val="0"/>
                <w:strike w:val="0"/>
                <w:dstrike w:val="0"/>
                <w:color w:val="auto"/>
                <w:sz w:val="21"/>
                <w:szCs w:val="21"/>
                <w:u w:val="none"/>
              </w:rPr>
            </w:pPr>
          </w:p>
        </w:tc>
      </w:tr>
      <w:tr w14:paraId="0FDA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456BCB5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167 </w:t>
            </w:r>
          </w:p>
        </w:tc>
        <w:tc>
          <w:tcPr>
            <w:tcW w:w="775" w:type="dxa"/>
            <w:shd w:val="clear" w:color="auto" w:fill="auto"/>
            <w:tcMar>
              <w:top w:w="10" w:type="dxa"/>
              <w:left w:w="10" w:type="dxa"/>
              <w:right w:w="10" w:type="dxa"/>
            </w:tcMar>
            <w:vAlign w:val="center"/>
          </w:tcPr>
          <w:p w14:paraId="2F129F7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行政检查</w:t>
            </w:r>
          </w:p>
        </w:tc>
        <w:tc>
          <w:tcPr>
            <w:tcW w:w="923" w:type="dxa"/>
            <w:shd w:val="clear" w:color="auto" w:fill="auto"/>
            <w:tcMar>
              <w:top w:w="10" w:type="dxa"/>
              <w:left w:w="10" w:type="dxa"/>
              <w:right w:w="10" w:type="dxa"/>
            </w:tcMar>
            <w:vAlign w:val="center"/>
          </w:tcPr>
          <w:p w14:paraId="60F3D93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对农村水电站监督检查</w:t>
            </w:r>
          </w:p>
        </w:tc>
        <w:tc>
          <w:tcPr>
            <w:tcW w:w="548" w:type="dxa"/>
            <w:shd w:val="clear" w:color="auto" w:fill="auto"/>
            <w:tcMar>
              <w:top w:w="10" w:type="dxa"/>
              <w:left w:w="10" w:type="dxa"/>
              <w:right w:w="10" w:type="dxa"/>
            </w:tcMar>
            <w:vAlign w:val="center"/>
          </w:tcPr>
          <w:p w14:paraId="1FAA2528">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6E5FE39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4AD8B9A9">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农村水利水电科</w:t>
            </w:r>
          </w:p>
        </w:tc>
        <w:tc>
          <w:tcPr>
            <w:tcW w:w="2789" w:type="dxa"/>
            <w:shd w:val="clear" w:color="auto" w:fill="auto"/>
            <w:tcMar>
              <w:top w:w="10" w:type="dxa"/>
              <w:left w:w="10" w:type="dxa"/>
              <w:right w:w="10" w:type="dxa"/>
            </w:tcMar>
            <w:vAlign w:val="center"/>
          </w:tcPr>
          <w:p w14:paraId="1F3FC1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1.【地方性法规】《广西壮族自治区水能资源开发利用管理条例》（2013年自治区第十二届人民代表大会常务委员会公告第9号）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第二十一条 水能资源开发利用项目业主和其委托的经营者是项目的安全生产责任主体，应当建立健全管理制度，定期进行安全检查并按照规定报送相关统计数据，严格按照有关规定运行管理，接受水行政主管部门、安全生产监管部门、电力监管部门的监督管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2.【规范性文件】《水利部关于印发〈农村水电安全生产监督检查导则〉的通知》 总则  1.2 各级水行政主管部门应按照本导则要求，检查管辖区域内农村水电安全生产监管主体、责任主体的履职情况。各类农村水电安全生产监管主体应按本导则要求，对农村水电安全生产责任主体进行安全生产检查。各类农村水电安全生产责任主体应对照本导则要求，定期开展安全生产自查和整改。</w:t>
            </w:r>
          </w:p>
        </w:tc>
        <w:tc>
          <w:tcPr>
            <w:tcW w:w="4075" w:type="dxa"/>
            <w:shd w:val="clear" w:color="auto" w:fill="auto"/>
            <w:tcMar>
              <w:top w:w="10" w:type="dxa"/>
              <w:left w:w="10" w:type="dxa"/>
              <w:right w:w="10" w:type="dxa"/>
            </w:tcMar>
            <w:vAlign w:val="center"/>
          </w:tcPr>
          <w:p w14:paraId="1CEF44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1.选案阶段责任：根据举报或上级安排以及日常管理中发现的问题确定进行检查。（农村水利水电科）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3.审查环节责任：对违法事实、证据资料、调查程序、法律适用、当事人陈述理由等进行审查，提出初步处理意见。（农村水利水电科）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4.告知环节责任：对违法事实、处理依据、处理意见告知，听取当事人陈述申辩。（农村水利水电科）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5.决定环节责任：根据违法事实以及当事人陈述意见作出处理决定，重大案件应组织集体审议。（农村水利水电科）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6.其他法律法规规章文件规定应履行的责任。（农村水利水电科）</w:t>
            </w:r>
          </w:p>
        </w:tc>
        <w:tc>
          <w:tcPr>
            <w:tcW w:w="8460" w:type="dxa"/>
            <w:shd w:val="clear" w:color="auto" w:fill="auto"/>
            <w:tcMar>
              <w:top w:w="10" w:type="dxa"/>
              <w:left w:w="10" w:type="dxa"/>
              <w:right w:w="10" w:type="dxa"/>
            </w:tcMar>
            <w:vAlign w:val="center"/>
          </w:tcPr>
          <w:p w14:paraId="2969865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2.同1。</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4.同3。</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5.同3。</w:t>
            </w:r>
          </w:p>
        </w:tc>
        <w:tc>
          <w:tcPr>
            <w:tcW w:w="3286" w:type="dxa"/>
            <w:shd w:val="clear" w:color="auto" w:fill="auto"/>
            <w:tcMar>
              <w:top w:w="10" w:type="dxa"/>
              <w:left w:w="10" w:type="dxa"/>
              <w:right w:w="10" w:type="dxa"/>
            </w:tcMar>
            <w:vAlign w:val="center"/>
          </w:tcPr>
          <w:p w14:paraId="447627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1.无法定依据或者超越法定权限实施检查的。（机关纪委）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3.违反法定程序实施检查的。（机关纪委）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4.放弃、推诿、拖延、拒绝履行检查职责的。（机关纪委）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5.对发现的违法行为不制止、不纠正的。（机关纪委）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13A1D4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14133F7F">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6C522E0">
            <w:pPr>
              <w:jc w:val="center"/>
              <w:rPr>
                <w:rFonts w:hint="default" w:ascii="仿宋_GB2312" w:hAnsi="宋体" w:eastAsia="仿宋_GB2312" w:cs="仿宋_GB2312"/>
                <w:i w:val="0"/>
                <w:iCs w:val="0"/>
                <w:strike w:val="0"/>
                <w:dstrike w:val="0"/>
                <w:color w:val="auto"/>
                <w:sz w:val="21"/>
                <w:szCs w:val="21"/>
                <w:u w:val="none"/>
              </w:rPr>
            </w:pPr>
          </w:p>
        </w:tc>
      </w:tr>
      <w:tr w14:paraId="50A7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B30FAB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168 </w:t>
            </w:r>
          </w:p>
        </w:tc>
        <w:tc>
          <w:tcPr>
            <w:tcW w:w="775" w:type="dxa"/>
            <w:shd w:val="clear" w:color="auto" w:fill="auto"/>
            <w:tcMar>
              <w:top w:w="10" w:type="dxa"/>
              <w:left w:w="10" w:type="dxa"/>
              <w:right w:w="10" w:type="dxa"/>
            </w:tcMar>
            <w:vAlign w:val="center"/>
          </w:tcPr>
          <w:p w14:paraId="6A1028F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1B0C6D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对水利工程的安全生产监督检查</w:t>
            </w:r>
          </w:p>
        </w:tc>
        <w:tc>
          <w:tcPr>
            <w:tcW w:w="548" w:type="dxa"/>
            <w:shd w:val="clear" w:color="auto" w:fill="auto"/>
            <w:tcMar>
              <w:top w:w="10" w:type="dxa"/>
              <w:left w:w="10" w:type="dxa"/>
              <w:right w:w="10" w:type="dxa"/>
            </w:tcMar>
            <w:vAlign w:val="center"/>
          </w:tcPr>
          <w:p w14:paraId="15E5ACF8">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5C7F62C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739083CD">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工程监督管理科</w:t>
            </w:r>
          </w:p>
        </w:tc>
        <w:tc>
          <w:tcPr>
            <w:tcW w:w="2789" w:type="dxa"/>
            <w:shd w:val="clear" w:color="auto" w:fill="auto"/>
            <w:tcMar>
              <w:top w:w="10" w:type="dxa"/>
              <w:left w:w="10" w:type="dxa"/>
              <w:right w:w="10" w:type="dxa"/>
            </w:tcMar>
            <w:vAlign w:val="center"/>
          </w:tcPr>
          <w:p w14:paraId="7002AC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1.【法律】《中华人民共和国安全生产法》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第六十二条 安全生产监督管理部门和其他负有安全生产监督管理职责的部门依法开展安全生产行政执法工作，对生产经营单位执行有关安全生产的法律、法规和国家标准或者行业标准的情况进行监督检查，行使以下职权：（一）进入生产经营单位进行检查，调阅有关资料，向有关单位和人员了解情况；（二）对检查中发现的安全生产违法行为，当场予以纠正或者要求限期改正；对依法应当给予行政处罚的行为，依照本法和其他有关法律、行政法规的规定作出行政处罚决定；（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第六十三条 生产经营单位对负有安全生产监督管理职责的部门的监督检查人员依法履行监督检查职责，应当予以配合，不得拒绝、阻挠。</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第六十五条 安全生产监督检查人员应当将检查的时间、地点、内容、发现的问题及其处理情况，作出书面记录，并由检查人员和被检查单位的负责人签字；被检查单位的负责人拒绝签字的，检查人员应当将情况记录在案，并向负有安全生产监督管理职责的部门报告。</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第六十六条 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第六十七条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2.【行政法规】《水利工程建设安全生产管理规定》（2005年水利部令第26号发布，2019年水利部令第50号修正）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第二十九条 ……市、县级人民政府水行政主管部门水利工程建设安全生产的监督管理职责，由省、自治区、直辖市人民政府水行政主管部门规定。</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第二十六条 水行政主管部门和流域管理机构按照分级管理权限，负责水利工程建设安全生产的监督管理。水行政主管部门或者流域管理机构委托的安全生产监督机构，负责水利工程施工现场的具体监督检查工作。</w:t>
            </w:r>
          </w:p>
        </w:tc>
        <w:tc>
          <w:tcPr>
            <w:tcW w:w="4075" w:type="dxa"/>
            <w:shd w:val="clear" w:color="auto" w:fill="auto"/>
            <w:tcMar>
              <w:top w:w="10" w:type="dxa"/>
              <w:left w:w="10" w:type="dxa"/>
              <w:right w:w="10" w:type="dxa"/>
            </w:tcMar>
            <w:vAlign w:val="center"/>
          </w:tcPr>
          <w:p w14:paraId="076083F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E6E23DA">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1FDF23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601C92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47BFAA7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C8E5761">
            <w:pPr>
              <w:jc w:val="center"/>
              <w:rPr>
                <w:rFonts w:hint="default" w:ascii="仿宋_GB2312" w:hAnsi="宋体" w:eastAsia="仿宋_GB2312" w:cs="仿宋_GB2312"/>
                <w:i w:val="0"/>
                <w:iCs w:val="0"/>
                <w:strike w:val="0"/>
                <w:dstrike w:val="0"/>
                <w:color w:val="000000"/>
                <w:sz w:val="21"/>
                <w:szCs w:val="21"/>
                <w:u w:val="none"/>
              </w:rPr>
            </w:pPr>
          </w:p>
        </w:tc>
      </w:tr>
      <w:tr w14:paraId="6902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19F2825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169 </w:t>
            </w:r>
          </w:p>
        </w:tc>
        <w:tc>
          <w:tcPr>
            <w:tcW w:w="775" w:type="dxa"/>
            <w:shd w:val="clear" w:color="auto" w:fill="auto"/>
            <w:tcMar>
              <w:top w:w="10" w:type="dxa"/>
              <w:left w:w="10" w:type="dxa"/>
              <w:right w:w="10" w:type="dxa"/>
            </w:tcMar>
            <w:vAlign w:val="center"/>
          </w:tcPr>
          <w:p w14:paraId="3A11A75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17794D9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对水利工程运行管理监督检查</w:t>
            </w:r>
          </w:p>
        </w:tc>
        <w:tc>
          <w:tcPr>
            <w:tcW w:w="548" w:type="dxa"/>
            <w:shd w:val="clear" w:color="auto" w:fill="auto"/>
            <w:tcMar>
              <w:top w:w="10" w:type="dxa"/>
              <w:left w:w="10" w:type="dxa"/>
              <w:right w:w="10" w:type="dxa"/>
            </w:tcMar>
            <w:vAlign w:val="center"/>
          </w:tcPr>
          <w:p w14:paraId="53A5ED1D">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1A27A2A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4C237B75">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工程监督管理科（水旱灾害防御科）</w:t>
            </w:r>
          </w:p>
        </w:tc>
        <w:tc>
          <w:tcPr>
            <w:tcW w:w="2789" w:type="dxa"/>
            <w:shd w:val="clear" w:color="auto" w:fill="auto"/>
            <w:tcMar>
              <w:top w:w="10" w:type="dxa"/>
              <w:left w:w="10" w:type="dxa"/>
              <w:right w:w="10" w:type="dxa"/>
            </w:tcMar>
            <w:vAlign w:val="center"/>
          </w:tcPr>
          <w:p w14:paraId="140D698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1.【法律】《中华人民共和国水法》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第四十二条 县级以上地方人民政府应当采取措施，保障本行政区域内水工程，特别是水坝和堤防的安全，限期消除险情。水行政主管部门应当加强对水工程安全的监督管理。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2.【行政法规】《中华人民共和国防汛条例》（1991年国务院令第86号发布，2011年国务院令第588号修订）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第九条 河道管理机构、水利水电工程管理单位和江河沿岸在建工程的建设单位，必须加强对所辖水工程设施的管理维护，保证其安全正常运行，组织和参加防汛抗洪工作。</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第二十七条 在汛期，河道、水库、水电站、闸坝等水工程管理单位必须按照规定对水工程进行巡查，发现险情，必须立即采取抢护措施，并及时向防汛指挥部和上级主管部门报告。其他任何单位和个人发现水工程设施出现险情，应当立即向防汛指挥部和水工程管理单位报告。</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3.【行政法规】《水库大坝安全管理条例》（1991年国务院令第77号发布，2018年国务院令第698号修订）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第三条 国务院水行政主管部门会同国务院有关主管部门对全国的大坝安全实施监督。县级以上地方人民政府水行政主管部门会同有关主管部门对本行政区域内的大坝安全实施监督。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4.【地方性法规】《广西壮族自治区水利工程管理条例》（1987年自治区第六届人民代表大会常务委员会第二十五次会议通过，2016年自治区人民代表大会常务委员会公告12届第63号修正）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第五条 县级以上人民政府水行政主管部门负责本行政区域内水利工程监督、管理和指导工作。</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第二十二条第一款 水行政主管部门、水利工程管理单位、水利工程所有者、水利工程经营者应当定期对水利工程进行安全检查。</w:t>
            </w:r>
          </w:p>
        </w:tc>
        <w:tc>
          <w:tcPr>
            <w:tcW w:w="4075" w:type="dxa"/>
            <w:shd w:val="clear" w:color="auto" w:fill="auto"/>
            <w:tcMar>
              <w:top w:w="10" w:type="dxa"/>
              <w:left w:w="10" w:type="dxa"/>
              <w:right w:w="10" w:type="dxa"/>
            </w:tcMar>
            <w:vAlign w:val="center"/>
          </w:tcPr>
          <w:p w14:paraId="73A7C8D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58B87BF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6ED5E49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6292745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6B6C0109">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7A2B626">
            <w:pPr>
              <w:jc w:val="center"/>
              <w:rPr>
                <w:rFonts w:hint="default" w:ascii="仿宋_GB2312" w:hAnsi="宋体" w:eastAsia="仿宋_GB2312" w:cs="仿宋_GB2312"/>
                <w:i w:val="0"/>
                <w:iCs w:val="0"/>
                <w:strike w:val="0"/>
                <w:dstrike w:val="0"/>
                <w:color w:val="000000"/>
                <w:sz w:val="21"/>
                <w:szCs w:val="21"/>
                <w:u w:val="none"/>
              </w:rPr>
            </w:pPr>
          </w:p>
        </w:tc>
      </w:tr>
      <w:tr w14:paraId="4884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95" w:hRule="atLeast"/>
        </w:trPr>
        <w:tc>
          <w:tcPr>
            <w:tcW w:w="537" w:type="dxa"/>
            <w:shd w:val="clear" w:color="auto" w:fill="auto"/>
            <w:tcMar>
              <w:top w:w="10" w:type="dxa"/>
              <w:left w:w="10" w:type="dxa"/>
              <w:right w:w="10" w:type="dxa"/>
            </w:tcMar>
            <w:vAlign w:val="center"/>
          </w:tcPr>
          <w:p w14:paraId="0292420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170 </w:t>
            </w:r>
          </w:p>
        </w:tc>
        <w:tc>
          <w:tcPr>
            <w:tcW w:w="775" w:type="dxa"/>
            <w:shd w:val="clear" w:color="auto" w:fill="auto"/>
            <w:tcMar>
              <w:top w:w="10" w:type="dxa"/>
              <w:left w:w="10" w:type="dxa"/>
              <w:right w:w="10" w:type="dxa"/>
            </w:tcMar>
            <w:vAlign w:val="center"/>
          </w:tcPr>
          <w:p w14:paraId="6E7BEC7B">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0F13CBC0">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对水利工程质量检测单位（乙级）的行政检查</w:t>
            </w:r>
          </w:p>
        </w:tc>
        <w:tc>
          <w:tcPr>
            <w:tcW w:w="548" w:type="dxa"/>
            <w:shd w:val="clear" w:color="auto" w:fill="auto"/>
            <w:tcMar>
              <w:top w:w="10" w:type="dxa"/>
              <w:left w:w="10" w:type="dxa"/>
              <w:right w:w="10" w:type="dxa"/>
            </w:tcMar>
            <w:vAlign w:val="center"/>
          </w:tcPr>
          <w:p w14:paraId="031ABA72">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5A39A8F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283717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工程监督管理科（水旱灾害防御科）</w:t>
            </w:r>
          </w:p>
        </w:tc>
        <w:tc>
          <w:tcPr>
            <w:tcW w:w="2789" w:type="dxa"/>
            <w:shd w:val="clear" w:color="auto" w:fill="auto"/>
            <w:tcMar>
              <w:top w:w="10" w:type="dxa"/>
              <w:left w:w="10" w:type="dxa"/>
              <w:right w:w="10" w:type="dxa"/>
            </w:tcMar>
            <w:vAlign w:val="center"/>
          </w:tcPr>
          <w:p w14:paraId="5B7D546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1.【部门规章】《水利工程质量检测管理规定》（2008年水利部令第36号发布，2019年水利部令第50号修正）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第二十一条 县级以上人民政府水行政主管部门应当加强对检测单位及其质量检测活动的监督检查，主要检查下列内容：（一）是否符合资质等级标准；（二）是否有涂改、倒卖、出租、出借或者以其他形式非法转让《资质等级证书》的行为；（三）是否存在转包、违规分包检测业务及租借、挂靠资质等违规行为；（四）是否按照有关标准和规定进行检测；（五）是否按照规定在质量检测报告上签字盖章，质量检测报告是否真实；（六）仪器设备的运行、检定和校准情况；（七）法律、法规规定的其他事项。</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流域管理机构应当加强对所管辖的水利工程的质量检测活动的监督检查。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第二十二条 县级以上人民政府水行政主管部门和流域管理机构实施监督检查时，有权采取下列措施：（一）要求检测单位或者委托方提供相关的文件和资料；（二）进入检测单位的工作场地（包括施工现场）进行抽查；（三）组织进行比对试验以验证检测单位的检测能力；（四）发现有不符合国家有关法律、法规和标准的检测行为时，责令改正。</w:t>
            </w:r>
          </w:p>
        </w:tc>
        <w:tc>
          <w:tcPr>
            <w:tcW w:w="4075" w:type="dxa"/>
            <w:shd w:val="clear" w:color="auto" w:fill="auto"/>
            <w:tcMar>
              <w:top w:w="10" w:type="dxa"/>
              <w:left w:w="10" w:type="dxa"/>
              <w:right w:w="10" w:type="dxa"/>
            </w:tcMar>
            <w:vAlign w:val="center"/>
          </w:tcPr>
          <w:p w14:paraId="4DF8CAB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0735711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3365870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5C420E5">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530C41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09B2D8C">
            <w:pPr>
              <w:jc w:val="center"/>
              <w:rPr>
                <w:rFonts w:hint="default" w:ascii="仿宋_GB2312" w:hAnsi="宋体" w:eastAsia="仿宋_GB2312" w:cs="仿宋_GB2312"/>
                <w:i w:val="0"/>
                <w:iCs w:val="0"/>
                <w:strike w:val="0"/>
                <w:dstrike w:val="0"/>
                <w:color w:val="000000"/>
                <w:sz w:val="21"/>
                <w:szCs w:val="21"/>
                <w:u w:val="none"/>
              </w:rPr>
            </w:pPr>
          </w:p>
        </w:tc>
      </w:tr>
      <w:tr w14:paraId="0CFB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5" w:hRule="atLeast"/>
        </w:trPr>
        <w:tc>
          <w:tcPr>
            <w:tcW w:w="537" w:type="dxa"/>
            <w:shd w:val="clear" w:color="auto" w:fill="auto"/>
            <w:tcMar>
              <w:top w:w="10" w:type="dxa"/>
              <w:left w:w="10" w:type="dxa"/>
              <w:right w:w="10" w:type="dxa"/>
            </w:tcMar>
            <w:vAlign w:val="center"/>
          </w:tcPr>
          <w:p w14:paraId="24B45E3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171 </w:t>
            </w:r>
          </w:p>
        </w:tc>
        <w:tc>
          <w:tcPr>
            <w:tcW w:w="775" w:type="dxa"/>
            <w:shd w:val="clear" w:color="auto" w:fill="auto"/>
            <w:tcMar>
              <w:top w:w="10" w:type="dxa"/>
              <w:left w:w="10" w:type="dxa"/>
              <w:right w:w="10" w:type="dxa"/>
            </w:tcMar>
            <w:vAlign w:val="center"/>
          </w:tcPr>
          <w:p w14:paraId="07107A3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6924F5D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对取水许可的监督检查</w:t>
            </w:r>
          </w:p>
        </w:tc>
        <w:tc>
          <w:tcPr>
            <w:tcW w:w="548" w:type="dxa"/>
            <w:shd w:val="clear" w:color="auto" w:fill="auto"/>
            <w:tcMar>
              <w:top w:w="10" w:type="dxa"/>
              <w:left w:w="10" w:type="dxa"/>
              <w:right w:w="10" w:type="dxa"/>
            </w:tcMar>
            <w:vAlign w:val="center"/>
          </w:tcPr>
          <w:p w14:paraId="4DFC4A47">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0B59D0F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40D96E90">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水土保持与水资源科</w:t>
            </w:r>
          </w:p>
        </w:tc>
        <w:tc>
          <w:tcPr>
            <w:tcW w:w="2789" w:type="dxa"/>
            <w:shd w:val="clear" w:color="auto" w:fill="auto"/>
            <w:tcMar>
              <w:top w:w="10" w:type="dxa"/>
              <w:left w:w="10" w:type="dxa"/>
              <w:right w:w="10" w:type="dxa"/>
            </w:tcMar>
            <w:vAlign w:val="center"/>
          </w:tcPr>
          <w:p w14:paraId="342DEC4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第三十八条 县级以上人民政府水行政主管部门或者流域管理机构应当依照本条例规定，加强对取水许可制度实施的监督管理。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县级以上人民政府水行政主管部门、财政部门和价格主管部门应当加强对水资源费征收、使用情况的监督管理。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第四十五条 县级以上人民政府水行政主管部门或者流域管理机构在进行监督检查时，有权采取下列措施 （一）要求被检查单位或者个人提供有关文件、证照、资料；（二）要求被检查单位或者个人就执行本条例的有关问题作出说明；（三）进入被检查单位或者个人的生产场所进行调查；（四）责令被检查单位或者个人停止违反本条例的行为，履行法定义务。监督检查人员在进行监督检查时，应当出示合法有效的行政执法证件。有关单位和个人对监督检查工作应当给予配合，不得拒绝或者阻碍监督检查人员依法执行公务。</w:t>
            </w:r>
          </w:p>
        </w:tc>
        <w:tc>
          <w:tcPr>
            <w:tcW w:w="4075" w:type="dxa"/>
            <w:shd w:val="clear" w:color="auto" w:fill="auto"/>
            <w:tcMar>
              <w:top w:w="10" w:type="dxa"/>
              <w:left w:w="10" w:type="dxa"/>
              <w:right w:w="10" w:type="dxa"/>
            </w:tcMar>
            <w:vAlign w:val="center"/>
          </w:tcPr>
          <w:p w14:paraId="30864EE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6.其他法律法规规章文件规定应履行的责任。（水土保持与水资源科）</w:t>
            </w:r>
          </w:p>
        </w:tc>
        <w:tc>
          <w:tcPr>
            <w:tcW w:w="8460" w:type="dxa"/>
            <w:shd w:val="clear" w:color="auto" w:fill="auto"/>
            <w:tcMar>
              <w:top w:w="10" w:type="dxa"/>
              <w:left w:w="10" w:type="dxa"/>
              <w:right w:w="10" w:type="dxa"/>
            </w:tcMar>
            <w:vAlign w:val="center"/>
          </w:tcPr>
          <w:p w14:paraId="31F6FBC5">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572D2322">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611F6E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2B51308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4ACFD966">
            <w:pPr>
              <w:jc w:val="center"/>
              <w:rPr>
                <w:rFonts w:hint="default" w:ascii="仿宋_GB2312" w:hAnsi="宋体" w:eastAsia="仿宋_GB2312" w:cs="仿宋_GB2312"/>
                <w:i w:val="0"/>
                <w:iCs w:val="0"/>
                <w:strike w:val="0"/>
                <w:dstrike w:val="0"/>
                <w:color w:val="000000"/>
                <w:sz w:val="21"/>
                <w:szCs w:val="21"/>
                <w:u w:val="none"/>
              </w:rPr>
            </w:pPr>
          </w:p>
        </w:tc>
      </w:tr>
      <w:tr w14:paraId="3557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A52B7F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172 </w:t>
            </w:r>
          </w:p>
        </w:tc>
        <w:tc>
          <w:tcPr>
            <w:tcW w:w="775" w:type="dxa"/>
            <w:shd w:val="clear" w:color="auto" w:fill="auto"/>
            <w:tcMar>
              <w:top w:w="10" w:type="dxa"/>
              <w:left w:w="10" w:type="dxa"/>
              <w:right w:w="10" w:type="dxa"/>
            </w:tcMar>
            <w:vAlign w:val="center"/>
          </w:tcPr>
          <w:p w14:paraId="2BB8E16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6EF2A0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对在河道管理范围内建设的工程设施的检查</w:t>
            </w:r>
          </w:p>
        </w:tc>
        <w:tc>
          <w:tcPr>
            <w:tcW w:w="548" w:type="dxa"/>
            <w:shd w:val="clear" w:color="auto" w:fill="auto"/>
            <w:tcMar>
              <w:top w:w="10" w:type="dxa"/>
              <w:left w:w="10" w:type="dxa"/>
              <w:right w:w="10" w:type="dxa"/>
            </w:tcMar>
            <w:vAlign w:val="center"/>
          </w:tcPr>
          <w:p w14:paraId="55F74B0F">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55CD81E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6D7330C2">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工程建设科</w:t>
            </w:r>
          </w:p>
        </w:tc>
        <w:tc>
          <w:tcPr>
            <w:tcW w:w="2789" w:type="dxa"/>
            <w:shd w:val="clear" w:color="auto" w:fill="auto"/>
            <w:tcMar>
              <w:top w:w="10" w:type="dxa"/>
              <w:left w:w="10" w:type="dxa"/>
              <w:right w:w="10" w:type="dxa"/>
            </w:tcMar>
            <w:vAlign w:val="center"/>
          </w:tcPr>
          <w:p w14:paraId="0EB66CF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1.【法律】《中华人民共和国防洪法》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第二十七条 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第二十八条 对于河道、湖泊管理范围内依照本法规定建设的工程设施，水行政主管部门有权依法检查；水行政主管部门检查时，被检查者应当如实提供有关的情况和资料。</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2.【地方性法规】《广西壮族自治区河道管理规定》（2000年自治区九届人民代表大会常务委员会公告第26号发布，2018年自治区人民代表大会常务委员会公告13届第7号修正）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第四条 县级以上水行政主管部门是本行政区域内的河道主管机关。</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各级河道主管机关按下列分工实施管理：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（一）国界河道、省界河道和跨设区的市的河道，由自治区河道主管机关管理，国家另有规定的，从其规定；</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（二）设区的市内跨县河道、县界河道，由设区的市的河道主管机关管理；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（三）其他河道由所在地的县级河道主管机关管理。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下级河道主管机关应当协同上级河道主管机关做好本辖区河道的管理工作。</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第十八条 在河道管理范围内建设坑道、取水口、排水（污）口、采砂场、临时仓库等工程设施，应当符合防洪标准、岸线规划、水质要求、航运要求和其他技术要求，不得危害堤防安全、影响河势稳定、妨碍行洪畅通、污染江河水质；其可行性研究报告按照国家规定的基本建设程序报请批准前，其中的工程建设方案应经河道主管机关根据前述防洪要求审查同意。前款规定的工程设施建设，需要占用河道管理范围内土地以及跨越河道空间或者穿越河床的，建设单位应当经河道主管机关对该工程设施建设的位置和界限审查批准后，方可依法办理开工手续；安排施工时，应当按照河道主管机关批准的位置和界限进行。工程设施竣工验收时，应当有河道主管机关参加；未经河道主管机关参加验收或者验收不合格的建设项目，不得投入使用。</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第十九条 对依照本规定第十八条规定建设的工程设施，河道主管机关有权依法检查；河道主管机关检查时，被检查者应当如实提供有关情况和资料。</w:t>
            </w:r>
          </w:p>
        </w:tc>
        <w:tc>
          <w:tcPr>
            <w:tcW w:w="4075" w:type="dxa"/>
            <w:shd w:val="clear" w:color="auto" w:fill="auto"/>
            <w:tcMar>
              <w:top w:w="10" w:type="dxa"/>
              <w:left w:w="10" w:type="dxa"/>
              <w:right w:w="10" w:type="dxa"/>
            </w:tcMar>
            <w:vAlign w:val="center"/>
          </w:tcPr>
          <w:p w14:paraId="1C0737F0">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6.其他法律法规规章文件规定应履行的责任。（工程建设科）</w:t>
            </w:r>
          </w:p>
        </w:tc>
        <w:tc>
          <w:tcPr>
            <w:tcW w:w="8460" w:type="dxa"/>
            <w:shd w:val="clear" w:color="auto" w:fill="auto"/>
            <w:tcMar>
              <w:top w:w="10" w:type="dxa"/>
              <w:left w:w="10" w:type="dxa"/>
              <w:right w:w="10" w:type="dxa"/>
            </w:tcMar>
            <w:vAlign w:val="center"/>
          </w:tcPr>
          <w:p w14:paraId="5BF25C2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66AB32FA">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F1B1F6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1A585D1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3785AF9">
            <w:pPr>
              <w:jc w:val="center"/>
              <w:rPr>
                <w:rFonts w:hint="default" w:ascii="仿宋_GB2312" w:hAnsi="宋体" w:eastAsia="仿宋_GB2312" w:cs="仿宋_GB2312"/>
                <w:i w:val="0"/>
                <w:iCs w:val="0"/>
                <w:strike w:val="0"/>
                <w:dstrike w:val="0"/>
                <w:color w:val="000000"/>
                <w:sz w:val="21"/>
                <w:szCs w:val="21"/>
                <w:u w:val="none"/>
              </w:rPr>
            </w:pPr>
          </w:p>
        </w:tc>
      </w:tr>
      <w:tr w14:paraId="3CC0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705666A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173 </w:t>
            </w:r>
          </w:p>
        </w:tc>
        <w:tc>
          <w:tcPr>
            <w:tcW w:w="775" w:type="dxa"/>
            <w:shd w:val="clear" w:color="auto" w:fill="auto"/>
            <w:tcMar>
              <w:top w:w="10" w:type="dxa"/>
              <w:left w:w="10" w:type="dxa"/>
              <w:right w:w="10" w:type="dxa"/>
            </w:tcMar>
            <w:vAlign w:val="center"/>
          </w:tcPr>
          <w:p w14:paraId="2E6734F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12F378A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河道采砂监督管理</w:t>
            </w:r>
          </w:p>
        </w:tc>
        <w:tc>
          <w:tcPr>
            <w:tcW w:w="548" w:type="dxa"/>
            <w:shd w:val="clear" w:color="auto" w:fill="auto"/>
            <w:tcMar>
              <w:top w:w="10" w:type="dxa"/>
              <w:left w:w="10" w:type="dxa"/>
              <w:right w:w="10" w:type="dxa"/>
            </w:tcMar>
            <w:vAlign w:val="center"/>
          </w:tcPr>
          <w:p w14:paraId="0D8790FB">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0AF77EF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1E7188B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河长制工作科</w:t>
            </w:r>
          </w:p>
        </w:tc>
        <w:tc>
          <w:tcPr>
            <w:tcW w:w="2789" w:type="dxa"/>
            <w:shd w:val="clear" w:color="auto" w:fill="auto"/>
            <w:tcMar>
              <w:top w:w="10" w:type="dxa"/>
              <w:left w:w="10" w:type="dxa"/>
              <w:right w:w="10" w:type="dxa"/>
            </w:tcMar>
            <w:vAlign w:val="center"/>
          </w:tcPr>
          <w:p w14:paraId="5922FD9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1.【行政法规】《广西壮族自治区河道采砂管理条例》（2016年自治区人民代表大会常务委员会公告12届第64号发布，2018年自治区人民代表大会常务委员会公告13届第7号修正）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第二十八条 县级以上人民政府水行政主管部门及其工作人员履行河道采砂监督管理职责时，有权采取下列措施：</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（一）进入采砂单位的生产、运输、存放场所进行调查、取证；</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（二）要求采砂单位如实提供与河道采砂有关的文件、证照、资料；</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（三）责令采砂单位停止违法采砂行为；拒不停止违法行为的，可以扣押实施违法行为的采砂机具。</w:t>
            </w:r>
          </w:p>
        </w:tc>
        <w:tc>
          <w:tcPr>
            <w:tcW w:w="4075" w:type="dxa"/>
            <w:shd w:val="clear" w:color="auto" w:fill="auto"/>
            <w:tcMar>
              <w:top w:w="10" w:type="dxa"/>
              <w:left w:w="10" w:type="dxa"/>
              <w:right w:w="10" w:type="dxa"/>
            </w:tcMar>
            <w:vAlign w:val="center"/>
          </w:tcPr>
          <w:p w14:paraId="748E2BD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1.选案阶段责任：根据举报或上级安排以及日常管理中发现的问题确定进行检查。（河长制工作科）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河长制工作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3.审查环节责任：对违法事实、证据资料、调查程序、法律适用、当事人陈述理由等进行审查，提出初步处理意见。（河长制工作科）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4.告知环节责任：对违法事实、处理依据、处理意见告知，听取当事人陈述申辩。（河长制工作科）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5.决定环节责任：根据违法事实以及当事人陈述意见作出处理决定，重大案件应组织集体审议。（河长制工作科）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6.其他法律法规规章文件规定应履行的责任。（河长制工作科）</w:t>
            </w:r>
          </w:p>
        </w:tc>
        <w:tc>
          <w:tcPr>
            <w:tcW w:w="8460" w:type="dxa"/>
            <w:shd w:val="clear" w:color="auto" w:fill="auto"/>
            <w:tcMar>
              <w:top w:w="10" w:type="dxa"/>
              <w:left w:w="10" w:type="dxa"/>
              <w:right w:w="10" w:type="dxa"/>
            </w:tcMar>
            <w:vAlign w:val="center"/>
          </w:tcPr>
          <w:p w14:paraId="0BA5C8F9">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132B0F20">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14D1531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0323A1A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4A83EE9">
            <w:pPr>
              <w:jc w:val="center"/>
              <w:rPr>
                <w:rFonts w:hint="default" w:ascii="仿宋_GB2312" w:hAnsi="宋体" w:eastAsia="仿宋_GB2312" w:cs="仿宋_GB2312"/>
                <w:i w:val="0"/>
                <w:iCs w:val="0"/>
                <w:strike w:val="0"/>
                <w:dstrike w:val="0"/>
                <w:color w:val="000000"/>
                <w:sz w:val="21"/>
                <w:szCs w:val="21"/>
                <w:u w:val="none"/>
              </w:rPr>
            </w:pPr>
          </w:p>
        </w:tc>
      </w:tr>
      <w:tr w14:paraId="789E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FD37EE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174 </w:t>
            </w:r>
          </w:p>
        </w:tc>
        <w:tc>
          <w:tcPr>
            <w:tcW w:w="775" w:type="dxa"/>
            <w:shd w:val="clear" w:color="auto" w:fill="auto"/>
            <w:tcMar>
              <w:top w:w="10" w:type="dxa"/>
              <w:left w:w="10" w:type="dxa"/>
              <w:right w:w="10" w:type="dxa"/>
            </w:tcMar>
            <w:vAlign w:val="center"/>
          </w:tcPr>
          <w:p w14:paraId="52C2F00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39CC9B3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水利工程建设质量监督检查</w:t>
            </w:r>
          </w:p>
        </w:tc>
        <w:tc>
          <w:tcPr>
            <w:tcW w:w="548" w:type="dxa"/>
            <w:shd w:val="clear" w:color="auto" w:fill="auto"/>
            <w:tcMar>
              <w:top w:w="10" w:type="dxa"/>
              <w:left w:w="10" w:type="dxa"/>
              <w:right w:w="10" w:type="dxa"/>
            </w:tcMar>
            <w:vAlign w:val="center"/>
          </w:tcPr>
          <w:p w14:paraId="31229AFF">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1F02664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6210DA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工程建设科</w:t>
            </w:r>
          </w:p>
        </w:tc>
        <w:tc>
          <w:tcPr>
            <w:tcW w:w="2789" w:type="dxa"/>
            <w:shd w:val="clear" w:color="auto" w:fill="auto"/>
            <w:tcMar>
              <w:top w:w="10" w:type="dxa"/>
              <w:left w:w="10" w:type="dxa"/>
              <w:right w:w="10" w:type="dxa"/>
            </w:tcMar>
            <w:vAlign w:val="center"/>
          </w:tcPr>
          <w:p w14:paraId="7E33DE29">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1.【行政法规】《建设工程质量管理条例》（2000年国务院令第279号发布，2019年国务院令第714号修订）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第四十三条第三款 县级以上地方人民政府建设行政主管部门对本行政区域内的建设工程质量实施监督管理。县级以上地方人民政府交通、水利等有关部门在各自的职责范围内，负责对本行政区域内的专业建设工程质量的监督管理。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第四十七条 县级以上地方人民政府建设行政主管部门和其他有关部门应当加强对有关建设工程质量的法律、法规和强制性标准执行情况的监督检查。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2.【部门规章】《水利工程质量管理规定》（2023年1月12日水利部令第52号发布）</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第四条 水利部负责全国水利工程质量的监督管理。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水利部所属流域管理机构（以下简称流域管理机构）依照法律、行政法规规定和水利部授权，负责所管辖范围内水利工程质量的监督管理。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县级以上地方人民政府水行政主管部门在职责范围内负责本行政区域水利工程质量的监督管理。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第五十二条 县级以上人民政府水行政主管部门、流域管理机构在管辖范围内负责对水利工程质量的监督管理：（一）贯彻执行水利工程质量管理的法律、法规、规章和工程建设强制性标准，并组织对贯彻落实情况实施监督检查；（二）制定水利工程质量管理制度；（三）组织实施水利工程建设项目的质量监督；（四）组织、参与水利工程质量事故的调查与处理；（五）建立举报渠道，受理水利工程质量投诉、举报；（六）履行法律法规规定的其他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3.【规范性文件】《国务院批转国家计委、财政部、水利部、建设部关于加强公益性水利工程建设管理若干意见的通知》（国发〔2000〕20号）</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第六点第一项 六、加强对水利工程建设的检查监督 （一）各级计划、财政、水利及建设部门要充实检查监督力量，对水利工程建设项目及移民建镇项目的工程质量、建设进度和资金管理使用情况经常进行稽察、检查和监督，发现问题及时提出整改意见，按管理权限查处，并应及时将有关情况向同级人民政府和上级主管部门报告。上级主管部门要定期和不定期对项目执行情况进行检查和稽察。</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4.【规范性文件】《水利部印发关于贯彻落实加强公益性水利工程建设管理若干意见的实施意见的通知》（水建管﹝2001﹞74号）</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第三点第一项 三、加强建设管理 （一）加强各级水行政主管部门的建设管理，各级水行政主管部门要认真履行建设管理职责，严格监督、检查基建程序、招标投标、建设监理、工程质量和资金管理等有关法规、规章的执行情况，对违反规定的要及时纠正和查处。对在项目建设管理中因人为失误给工程项目造成重大损失以及严重违反国家有关法律、法规和规章的人员给予必要的经济和行政处罚，构成犯罪的要依法追究刑事责任。</w:t>
            </w:r>
          </w:p>
        </w:tc>
        <w:tc>
          <w:tcPr>
            <w:tcW w:w="4075" w:type="dxa"/>
            <w:shd w:val="clear" w:color="auto" w:fill="auto"/>
            <w:tcMar>
              <w:top w:w="10" w:type="dxa"/>
              <w:left w:w="10" w:type="dxa"/>
              <w:right w:w="10" w:type="dxa"/>
            </w:tcMar>
            <w:vAlign w:val="center"/>
          </w:tcPr>
          <w:p w14:paraId="0BDAC86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6.其他法律法规规章文件规定应履行的责任。（工程建设科）</w:t>
            </w:r>
          </w:p>
        </w:tc>
        <w:tc>
          <w:tcPr>
            <w:tcW w:w="8460" w:type="dxa"/>
            <w:shd w:val="clear" w:color="auto" w:fill="auto"/>
            <w:tcMar>
              <w:top w:w="10" w:type="dxa"/>
              <w:left w:w="10" w:type="dxa"/>
              <w:right w:w="10" w:type="dxa"/>
            </w:tcMar>
            <w:vAlign w:val="center"/>
          </w:tcPr>
          <w:p w14:paraId="7ABA232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501B27D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42C58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6B9061CD">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88F18E4">
            <w:pPr>
              <w:jc w:val="center"/>
              <w:rPr>
                <w:rFonts w:hint="default" w:ascii="仿宋_GB2312" w:hAnsi="宋体" w:eastAsia="仿宋_GB2312" w:cs="仿宋_GB2312"/>
                <w:i w:val="0"/>
                <w:iCs w:val="0"/>
                <w:strike w:val="0"/>
                <w:dstrike w:val="0"/>
                <w:color w:val="000000"/>
                <w:sz w:val="21"/>
                <w:szCs w:val="21"/>
                <w:u w:val="none"/>
              </w:rPr>
            </w:pPr>
          </w:p>
        </w:tc>
      </w:tr>
      <w:tr w14:paraId="068B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FB0CA9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175 </w:t>
            </w:r>
          </w:p>
        </w:tc>
        <w:tc>
          <w:tcPr>
            <w:tcW w:w="775" w:type="dxa"/>
            <w:shd w:val="clear" w:color="auto" w:fill="auto"/>
            <w:tcMar>
              <w:top w:w="10" w:type="dxa"/>
              <w:left w:w="10" w:type="dxa"/>
              <w:right w:w="10" w:type="dxa"/>
            </w:tcMar>
            <w:vAlign w:val="center"/>
          </w:tcPr>
          <w:p w14:paraId="309E21D7">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78DE1BE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水利工程建设项目监督检查</w:t>
            </w:r>
          </w:p>
        </w:tc>
        <w:tc>
          <w:tcPr>
            <w:tcW w:w="548" w:type="dxa"/>
            <w:shd w:val="clear" w:color="auto" w:fill="auto"/>
            <w:tcMar>
              <w:top w:w="10" w:type="dxa"/>
              <w:left w:w="10" w:type="dxa"/>
              <w:right w:w="10" w:type="dxa"/>
            </w:tcMar>
            <w:vAlign w:val="center"/>
          </w:tcPr>
          <w:p w14:paraId="5CABB4BC">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4C07F4F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0EFE6EF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工程建设科</w:t>
            </w:r>
          </w:p>
        </w:tc>
        <w:tc>
          <w:tcPr>
            <w:tcW w:w="2789" w:type="dxa"/>
            <w:shd w:val="clear" w:color="auto" w:fill="auto"/>
            <w:tcMar>
              <w:top w:w="10" w:type="dxa"/>
              <w:left w:w="10" w:type="dxa"/>
              <w:right w:w="10" w:type="dxa"/>
            </w:tcMar>
            <w:vAlign w:val="center"/>
          </w:tcPr>
          <w:p w14:paraId="3B09E15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1.【行政法规】《建设工程勘察设计管理条例》（2000年国务院令第293号发布，2017年国务院令第687号修订）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第五条 县级以上人民政府建设行政主管部门和交通、水利等有关部门应当依照本条例的规定，加强对建设工程勘察、设计活动的监督管理。建设工程勘察、设计单位必须依法进行建设工程勘察、设计，严格执行工程建设强制性标准，并对建设工程勘察、设计的质量负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第四十三条第三款 县级以上地方人民政府建设行政主管部门对本行政区域内的建设工程质量实施监督管理。县级以上地方人民政府交通、水利等有关部门在各自的职责范围内，负责对本行政区域内的专业建设工程质量的监督管理。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第四十七条 县级以上地方人民政府建设行政主管部门和其他有关部门应当加强对有关建设工程质量的法律、法规和强制性标准执行情况的监督检查。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2.【部门规章】《水利工程建设监理规定》（2006年水利部令第28号发布，2017年水利部令第49号修正）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第二十一条 县级以上人民政府水行政主管部门和流域管理机构应当加强对水利工程建设监理活动的监督管理，对项目法人和监理单位执行国家法律法规、工程建设强制性标准以及履行监理合同的情况进行监督检查。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第二十三条 县级以上人民政府水行政主管部门和流域管理机构在监督检查中，发现监理单位和监理人员有违规行为的，应当责令纠正，并依法查处。</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3.【部门规章】《水利工程建设安全生产管理规定》（2005年水利部令第26号发布，2019年水利部令第50号修正）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第二十六条 水行政主管部门和流域管理机构按照分级管理权限，负责水利工程建设安全生产的监督管理。水行政主管部门或者流域管理机构委托的安全生产监督机构，负责水利工程施工现场的具体监督检查工作。</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第二十九条 省、自治区、直辖市人民政府水行政主管部门负责本行政区域内所管辖的水利工程建设安全生产的监督管理工作。</w:t>
            </w:r>
          </w:p>
        </w:tc>
        <w:tc>
          <w:tcPr>
            <w:tcW w:w="4075" w:type="dxa"/>
            <w:shd w:val="clear" w:color="auto" w:fill="auto"/>
            <w:tcMar>
              <w:top w:w="10" w:type="dxa"/>
              <w:left w:w="10" w:type="dxa"/>
              <w:right w:w="10" w:type="dxa"/>
            </w:tcMar>
            <w:vAlign w:val="center"/>
          </w:tcPr>
          <w:p w14:paraId="364F995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6.其他法律法规规章文件规定应履行的责任。（工程建设科）</w:t>
            </w:r>
          </w:p>
        </w:tc>
        <w:tc>
          <w:tcPr>
            <w:tcW w:w="8460" w:type="dxa"/>
            <w:shd w:val="clear" w:color="auto" w:fill="auto"/>
            <w:tcMar>
              <w:top w:w="10" w:type="dxa"/>
              <w:left w:w="10" w:type="dxa"/>
              <w:right w:w="10" w:type="dxa"/>
            </w:tcMar>
            <w:vAlign w:val="center"/>
          </w:tcPr>
          <w:p w14:paraId="7DE0A2A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70A2345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7D406A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238701B0">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7D668967">
            <w:pPr>
              <w:jc w:val="center"/>
              <w:rPr>
                <w:rFonts w:hint="default" w:ascii="仿宋_GB2312" w:hAnsi="宋体" w:eastAsia="仿宋_GB2312" w:cs="仿宋_GB2312"/>
                <w:i w:val="0"/>
                <w:iCs w:val="0"/>
                <w:strike w:val="0"/>
                <w:dstrike w:val="0"/>
                <w:color w:val="000000"/>
                <w:sz w:val="21"/>
                <w:szCs w:val="21"/>
                <w:u w:val="none"/>
              </w:rPr>
            </w:pPr>
          </w:p>
        </w:tc>
      </w:tr>
      <w:tr w14:paraId="2DF2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1C50EFC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176 </w:t>
            </w:r>
          </w:p>
        </w:tc>
        <w:tc>
          <w:tcPr>
            <w:tcW w:w="775" w:type="dxa"/>
            <w:shd w:val="clear" w:color="auto" w:fill="auto"/>
            <w:tcMar>
              <w:top w:w="10" w:type="dxa"/>
              <w:left w:w="10" w:type="dxa"/>
              <w:right w:w="10" w:type="dxa"/>
            </w:tcMar>
            <w:vAlign w:val="center"/>
          </w:tcPr>
          <w:p w14:paraId="61A60CF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21F0967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对监理工程师执业资格的行政检查</w:t>
            </w:r>
          </w:p>
        </w:tc>
        <w:tc>
          <w:tcPr>
            <w:tcW w:w="548" w:type="dxa"/>
            <w:shd w:val="clear" w:color="auto" w:fill="auto"/>
            <w:tcMar>
              <w:top w:w="10" w:type="dxa"/>
              <w:left w:w="10" w:type="dxa"/>
              <w:right w:w="10" w:type="dxa"/>
            </w:tcMar>
            <w:vAlign w:val="center"/>
          </w:tcPr>
          <w:p w14:paraId="2E3A82CD">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48F94C1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019A3B1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工程建设科</w:t>
            </w:r>
          </w:p>
        </w:tc>
        <w:tc>
          <w:tcPr>
            <w:tcW w:w="2789" w:type="dxa"/>
            <w:shd w:val="clear" w:color="auto" w:fill="auto"/>
            <w:tcMar>
              <w:top w:w="10" w:type="dxa"/>
              <w:left w:w="10" w:type="dxa"/>
              <w:right w:w="10" w:type="dxa"/>
            </w:tcMar>
            <w:vAlign w:val="center"/>
          </w:tcPr>
          <w:p w14:paraId="1F08D969">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1.【部门规章】《水利工程建设监理规定》（2006年水利部令第28号发布，2017年水利部令第49号修正）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第四条 水利部对全国水利工程建设监理实施统一监督管理。水利部所属流域管理机构（以下简称流域管理机构）和县级以上地方人民政府水行政主管部门对其所管辖的水利工程建设监理实施监督管理。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第二十三条 县级以上人民政府水行政主管部门和流域管理机构在监督检查中，发现监理单位和人员有违规行为的，应当责令纠正，并依法查处。</w:t>
            </w:r>
          </w:p>
        </w:tc>
        <w:tc>
          <w:tcPr>
            <w:tcW w:w="4075" w:type="dxa"/>
            <w:shd w:val="clear" w:color="auto" w:fill="auto"/>
            <w:tcMar>
              <w:top w:w="10" w:type="dxa"/>
              <w:left w:w="10" w:type="dxa"/>
              <w:right w:w="10" w:type="dxa"/>
            </w:tcMar>
            <w:vAlign w:val="center"/>
          </w:tcPr>
          <w:p w14:paraId="221F6D3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 。（工程建设科）</w:t>
            </w:r>
          </w:p>
        </w:tc>
        <w:tc>
          <w:tcPr>
            <w:tcW w:w="8460" w:type="dxa"/>
            <w:shd w:val="clear" w:color="auto" w:fill="auto"/>
            <w:tcMar>
              <w:top w:w="10" w:type="dxa"/>
              <w:left w:w="10" w:type="dxa"/>
              <w:right w:w="10" w:type="dxa"/>
            </w:tcMar>
            <w:vAlign w:val="center"/>
          </w:tcPr>
          <w:p w14:paraId="65C9D26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3F46B6D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41431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299A89E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2BBD4C3">
            <w:pPr>
              <w:jc w:val="center"/>
              <w:rPr>
                <w:rFonts w:hint="default" w:ascii="仿宋_GB2312" w:hAnsi="宋体" w:eastAsia="仿宋_GB2312" w:cs="仿宋_GB2312"/>
                <w:i w:val="0"/>
                <w:iCs w:val="0"/>
                <w:strike w:val="0"/>
                <w:dstrike w:val="0"/>
                <w:color w:val="000000"/>
                <w:sz w:val="21"/>
                <w:szCs w:val="21"/>
                <w:u w:val="none"/>
              </w:rPr>
            </w:pPr>
          </w:p>
        </w:tc>
      </w:tr>
      <w:tr w14:paraId="743F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006897C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177 </w:t>
            </w:r>
          </w:p>
        </w:tc>
        <w:tc>
          <w:tcPr>
            <w:tcW w:w="775" w:type="dxa"/>
            <w:shd w:val="clear" w:color="auto" w:fill="auto"/>
            <w:tcMar>
              <w:top w:w="10" w:type="dxa"/>
              <w:left w:w="10" w:type="dxa"/>
              <w:right w:w="10" w:type="dxa"/>
            </w:tcMar>
            <w:vAlign w:val="center"/>
          </w:tcPr>
          <w:p w14:paraId="3084126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241C18C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对电子招标投标活动的行政检查</w:t>
            </w:r>
          </w:p>
        </w:tc>
        <w:tc>
          <w:tcPr>
            <w:tcW w:w="548" w:type="dxa"/>
            <w:shd w:val="clear" w:color="auto" w:fill="auto"/>
            <w:tcMar>
              <w:top w:w="10" w:type="dxa"/>
              <w:left w:w="10" w:type="dxa"/>
              <w:right w:w="10" w:type="dxa"/>
            </w:tcMar>
            <w:vAlign w:val="center"/>
          </w:tcPr>
          <w:p w14:paraId="4F48E11A">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2D3F270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444E817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工程监督管理科（水旱灾害防御科）</w:t>
            </w:r>
          </w:p>
        </w:tc>
        <w:tc>
          <w:tcPr>
            <w:tcW w:w="2789" w:type="dxa"/>
            <w:shd w:val="clear" w:color="auto" w:fill="auto"/>
            <w:tcMar>
              <w:top w:w="10" w:type="dxa"/>
              <w:left w:w="10" w:type="dxa"/>
              <w:right w:w="10" w:type="dxa"/>
            </w:tcMar>
            <w:vAlign w:val="center"/>
          </w:tcPr>
          <w:p w14:paraId="463B02B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1.【法律】《电子招标投标法》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第四条第一款 国务院发展改革部门负责指导协调全国电子招标投标活动，各级地方人民政府发展改革部门负责指导协调本行政区域内电子招标投标活动。各级人民政府发展改革、工业和信息化、住房城乡建设、交通运输、铁道、水利、商务等部门，按照规定的职责分工，对电子招标投标活动实施监督，依法查处电子招标投标活动中的违法行为。</w:t>
            </w:r>
          </w:p>
        </w:tc>
        <w:tc>
          <w:tcPr>
            <w:tcW w:w="4075" w:type="dxa"/>
            <w:shd w:val="clear" w:color="auto" w:fill="auto"/>
            <w:tcMar>
              <w:top w:w="10" w:type="dxa"/>
              <w:left w:w="10" w:type="dxa"/>
              <w:right w:w="10" w:type="dxa"/>
            </w:tcMar>
            <w:vAlign w:val="center"/>
          </w:tcPr>
          <w:p w14:paraId="5B51E30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 。工程监督管理科（水旱灾害防御科）</w:t>
            </w:r>
          </w:p>
        </w:tc>
        <w:tc>
          <w:tcPr>
            <w:tcW w:w="8460" w:type="dxa"/>
            <w:shd w:val="clear" w:color="auto" w:fill="auto"/>
            <w:tcMar>
              <w:top w:w="10" w:type="dxa"/>
              <w:left w:w="10" w:type="dxa"/>
              <w:right w:w="10" w:type="dxa"/>
            </w:tcMar>
            <w:vAlign w:val="center"/>
          </w:tcPr>
          <w:p w14:paraId="4ACB755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2ABC962D">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F298549">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5E42DAD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28C1BE4">
            <w:pPr>
              <w:jc w:val="center"/>
              <w:rPr>
                <w:rFonts w:hint="default" w:ascii="仿宋_GB2312" w:hAnsi="宋体" w:eastAsia="仿宋_GB2312" w:cs="仿宋_GB2312"/>
                <w:i w:val="0"/>
                <w:iCs w:val="0"/>
                <w:strike w:val="0"/>
                <w:dstrike w:val="0"/>
                <w:color w:val="000000"/>
                <w:sz w:val="21"/>
                <w:szCs w:val="21"/>
                <w:u w:val="none"/>
              </w:rPr>
            </w:pPr>
          </w:p>
        </w:tc>
      </w:tr>
      <w:tr w14:paraId="2BA1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5" w:hRule="atLeast"/>
        </w:trPr>
        <w:tc>
          <w:tcPr>
            <w:tcW w:w="537" w:type="dxa"/>
            <w:shd w:val="clear" w:color="auto" w:fill="auto"/>
            <w:tcMar>
              <w:top w:w="10" w:type="dxa"/>
              <w:left w:w="10" w:type="dxa"/>
              <w:right w:w="10" w:type="dxa"/>
            </w:tcMar>
            <w:vAlign w:val="center"/>
          </w:tcPr>
          <w:p w14:paraId="333BACE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178 </w:t>
            </w:r>
          </w:p>
        </w:tc>
        <w:tc>
          <w:tcPr>
            <w:tcW w:w="775" w:type="dxa"/>
            <w:shd w:val="clear" w:color="auto" w:fill="auto"/>
            <w:tcMar>
              <w:top w:w="10" w:type="dxa"/>
              <w:left w:w="10" w:type="dxa"/>
              <w:right w:w="10" w:type="dxa"/>
            </w:tcMar>
            <w:vAlign w:val="center"/>
          </w:tcPr>
          <w:p w14:paraId="0030F6F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行政检查</w:t>
            </w:r>
          </w:p>
        </w:tc>
        <w:tc>
          <w:tcPr>
            <w:tcW w:w="923" w:type="dxa"/>
            <w:shd w:val="clear" w:color="auto" w:fill="auto"/>
            <w:tcMar>
              <w:top w:w="10" w:type="dxa"/>
              <w:left w:w="10" w:type="dxa"/>
              <w:right w:w="10" w:type="dxa"/>
            </w:tcMar>
            <w:vAlign w:val="center"/>
          </w:tcPr>
          <w:p w14:paraId="1CDE017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水库、水闸、堤防工程管理监督检查</w:t>
            </w:r>
          </w:p>
        </w:tc>
        <w:tc>
          <w:tcPr>
            <w:tcW w:w="548" w:type="dxa"/>
            <w:shd w:val="clear" w:color="auto" w:fill="auto"/>
            <w:tcMar>
              <w:top w:w="10" w:type="dxa"/>
              <w:left w:w="10" w:type="dxa"/>
              <w:right w:w="10" w:type="dxa"/>
            </w:tcMar>
            <w:vAlign w:val="center"/>
          </w:tcPr>
          <w:p w14:paraId="5772F72E">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26564A09">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5BBCC99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工程监督管理科（水旱灾害防御科）</w:t>
            </w:r>
          </w:p>
        </w:tc>
        <w:tc>
          <w:tcPr>
            <w:tcW w:w="2789" w:type="dxa"/>
            <w:shd w:val="clear" w:color="auto" w:fill="auto"/>
            <w:tcMar>
              <w:top w:w="10" w:type="dxa"/>
              <w:left w:w="10" w:type="dxa"/>
              <w:right w:w="10" w:type="dxa"/>
            </w:tcMar>
            <w:vAlign w:val="center"/>
          </w:tcPr>
          <w:p w14:paraId="18A67FF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1.【行政法规】《水库大坝安全管理条例》（1991年国务院令第77号发布，2018年国务院令第698号修订）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第三条 国务院水行政主管部门会同国务院有关主管部门对全国的大坝安全实施监督。县级以上地方人民政府水行政主管部门会同有关主管部门对本行政区域内的大坝安全实施监督。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第二十二条 大坝主管部门应当建立大坝定期安全检查、鉴定制度。</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汛期、汛后，以及暴风、暴雨、特大洪水或强烈地震发生后，大坝主管部门应当组织对其所管辖的大坝的安全进行检查。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2.【地方性法规】《广西壮族自治区水利工程管理条例》（1987年自治区第六届人民代表大会常务委员会第二十五次会议通过，2016年自治区人民代表大会常务委员会公告12届第63号修正）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第二十二条 水行政主管部门、水利工程管理单位、水利工程所有者、水利工程经营者应当定期对水利工程进行安全检查，及时发现、排除安全隐患，并制定水利工程安全管理应急预案。</w:t>
            </w:r>
          </w:p>
        </w:tc>
        <w:tc>
          <w:tcPr>
            <w:tcW w:w="4075" w:type="dxa"/>
            <w:shd w:val="clear" w:color="auto" w:fill="auto"/>
            <w:tcMar>
              <w:top w:w="10" w:type="dxa"/>
              <w:left w:w="10" w:type="dxa"/>
              <w:right w:w="10" w:type="dxa"/>
            </w:tcMar>
            <w:vAlign w:val="center"/>
          </w:tcPr>
          <w:p w14:paraId="2E4BBAC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1.选案阶段责任：根据举报或上级安排以及日常管理中发现的问题确定进行检查。工程监督管理科（水旱灾害防御科）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检查阶段责任：检查应按有关程序进行，指定专人负责，及时组织调查取证，与当事人有直接利害关系的应当回避。检查人员不得少于两人，调查时应出示执法证件，允许当事人辩解陈述。检查人员应保守有关秘密。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3.审查环节责任：对违法事实、证据资料、调查程序、法律适用、当事人陈述理由等进行审查，提出初步处理意见。工程监督管理科（水旱灾害防御科）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4.告知环节责任：对违法事实、处理依据、处理意见告知，听取当事人陈述申辩。工程监督管理科（水旱灾害防御科）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5.决定环节责任：根据违法事实以及当事人陈述意见作出处理决定，重大案件应组织集体审议。工程监督管理科（水旱灾害防御科）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 。工程监督管理科（水旱灾害防御科）</w:t>
            </w:r>
          </w:p>
        </w:tc>
        <w:tc>
          <w:tcPr>
            <w:tcW w:w="8460" w:type="dxa"/>
            <w:shd w:val="clear" w:color="auto" w:fill="auto"/>
            <w:tcMar>
              <w:top w:w="10" w:type="dxa"/>
              <w:left w:w="10" w:type="dxa"/>
              <w:right w:w="10" w:type="dxa"/>
            </w:tcMar>
            <w:vAlign w:val="center"/>
          </w:tcPr>
          <w:p w14:paraId="2E8DDF1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3.【法律】《中华人民共和国行政处罚法》第四十条 行政处罚决定书应当在宣告后当场交付当事人；当事人不在场的，行政机关应当在七日内依照民事诉讼法的有关规定，将行政处罚决定书送达当事人。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4.同3。</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5.同3。</w:t>
            </w:r>
          </w:p>
        </w:tc>
        <w:tc>
          <w:tcPr>
            <w:tcW w:w="3286" w:type="dxa"/>
            <w:shd w:val="clear" w:color="auto" w:fill="auto"/>
            <w:tcMar>
              <w:top w:w="10" w:type="dxa"/>
              <w:left w:w="10" w:type="dxa"/>
              <w:right w:w="10" w:type="dxa"/>
            </w:tcMar>
            <w:vAlign w:val="center"/>
          </w:tcPr>
          <w:p w14:paraId="44FDAE0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1.无法定依据或者超越法定权限实施检查的。（机关纪委）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2.无具体理由、事项、内容实施检查或者不出示法定行政执法证件实施检查的。（机关纪委）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3.违反法定程序实施检查的。（机关纪委）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4.放弃、推诿、拖延、拒绝履行检查职责的。（机关纪委）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5.对发现的违法行为不制止、不纠正的。（机关纪委）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6.在检查和决定环节，徇私舞弊或者玩忽职守，对发现的行政相对人违法事实隐瞒不报或少报的.（机关纪委）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CE473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1.【部门规章】《广西壮族自治区行政过错责任追究办法》（2007年4月17日自治区第十届人民政府第63次常务会议审议通过）第十一条 行政机关及其工作人员在实施行政监督检查过程中，有下列情形之一的，应当追究行政过错责任：（一）没有法定或者规定依据实施检查；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2-1.【部门规章】《广西壮族自治区行政过错责任追究办法》（2007年4月17日自治区第十届人民政府第63次常务会议审议通过）第十一条 行政机关及其工作人员在实施行政监督检查过程中，有下列情形之一的，应当追究行政过错责任：（二）没有具体理由、事项、内容、对象实施检查；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2-2.【部门规章】《广西壮族自治区行政过错责任追究办法》（2007年4月17日自治区第十届人民政府第63次常务会议审议通过）第八条 实施行政行为，有下列情形之一的，应当追究行政过错责任人的责任：（四）执行公务活动不出示有效证件；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3.【部门规章】《广西壮族自治区行政过错责任追究办法》（2007年4月17日自治区第十届人民政府第63次常务会议审议通过）第十一条 行政机关及其工作人员在实施行政监督检查过程中，有下列情形之一的，应当追究行政过错责任：（六）其他违反行政监督检查规定的情形。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4.【部门规章】《广西壮族自治区行政过错责任追究办法》（2007年4月17日自治区第十届人民政府第63次常务会议审议通过）第十一条 行政机关及其工作人员在实施行政监督检查过程中，有下列情形之一的，应当追究行政过错责任：（三）放弃、推诿、拖延、拒绝履行检查职责；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5.【部门规章】《广西壮族自治区行政过错责任追究办法》（2007年4月17日自治区第十届人民政府第63次常务会议审议通过）第十一条 行政机关及其工作人员在实施行政监督检查过程中，有下列情形之一的，应当追究行政过错责任：（四）发现违法行为不依法制止、纠正；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6.【法律】《中华人民共和国公务员法》第一百零四条：“公务员主管部门的工作人员，违反本法规定，滥用职权、玩忽职守、徇私舞弊，构成犯罪的，依法追究刑事责任；尚不构成犯罪的，给予处分。”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40246243">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26CD83B">
            <w:pPr>
              <w:jc w:val="center"/>
              <w:rPr>
                <w:rFonts w:hint="default" w:ascii="仿宋_GB2312" w:hAnsi="宋体" w:eastAsia="仿宋_GB2312" w:cs="仿宋_GB2312"/>
                <w:i w:val="0"/>
                <w:iCs w:val="0"/>
                <w:strike w:val="0"/>
                <w:dstrike w:val="0"/>
                <w:color w:val="000000"/>
                <w:sz w:val="21"/>
                <w:szCs w:val="21"/>
                <w:u w:val="none"/>
              </w:rPr>
            </w:pPr>
          </w:p>
        </w:tc>
      </w:tr>
      <w:tr w14:paraId="04AE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69327AB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179 </w:t>
            </w:r>
          </w:p>
        </w:tc>
        <w:tc>
          <w:tcPr>
            <w:tcW w:w="775" w:type="dxa"/>
            <w:shd w:val="clear" w:color="auto" w:fill="auto"/>
            <w:tcMar>
              <w:top w:w="10" w:type="dxa"/>
              <w:left w:w="10" w:type="dxa"/>
              <w:right w:w="10" w:type="dxa"/>
            </w:tcMar>
            <w:vAlign w:val="center"/>
          </w:tcPr>
          <w:p w14:paraId="37349C10">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行政裁决</w:t>
            </w:r>
          </w:p>
        </w:tc>
        <w:tc>
          <w:tcPr>
            <w:tcW w:w="923" w:type="dxa"/>
            <w:shd w:val="clear" w:color="auto" w:fill="auto"/>
            <w:tcMar>
              <w:top w:w="10" w:type="dxa"/>
              <w:left w:w="10" w:type="dxa"/>
              <w:right w:w="10" w:type="dxa"/>
            </w:tcMar>
            <w:vAlign w:val="center"/>
          </w:tcPr>
          <w:p w14:paraId="26CD912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水事纠纷裁决</w:t>
            </w:r>
          </w:p>
        </w:tc>
        <w:tc>
          <w:tcPr>
            <w:tcW w:w="548" w:type="dxa"/>
            <w:shd w:val="clear" w:color="auto" w:fill="auto"/>
            <w:tcMar>
              <w:top w:w="10" w:type="dxa"/>
              <w:left w:w="10" w:type="dxa"/>
              <w:right w:w="10" w:type="dxa"/>
            </w:tcMar>
            <w:vAlign w:val="center"/>
          </w:tcPr>
          <w:p w14:paraId="7CECE9C4">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7B48B8EC">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2B208D4D">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政策法规科</w:t>
            </w:r>
          </w:p>
        </w:tc>
        <w:tc>
          <w:tcPr>
            <w:tcW w:w="2789" w:type="dxa"/>
            <w:shd w:val="clear" w:color="auto" w:fill="auto"/>
            <w:tcMar>
              <w:top w:w="10" w:type="dxa"/>
              <w:left w:w="10" w:type="dxa"/>
              <w:right w:w="10" w:type="dxa"/>
            </w:tcMar>
            <w:vAlign w:val="center"/>
          </w:tcPr>
          <w:p w14:paraId="23708B3D">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1.【法律】《中华人民共和国水法》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第五十六条 不同行政区域之间发生水事纠纷的，应当协商处理；协商不成的，由上一级人民政府裁决，有关各方必须遵照执行。在水事纠纷解决前，未经各方达成协议或者共同的上一级人民政府批准，在行政区域交界线两侧一定范围内，任何一方不得修建排水、阻水、取水和截（蓄）水工程，不得单方面改变水的现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第五十七条 单位之间、个人之间、单位与个人之间发生的水事纠纷，应当协商解决；当事人不愿协商或者协商不成的，可以申请县级以上地方人民政府或者其授权的部门调解，也可以直接向人民法院提起民事诉讼。县级以上地方人民政府或者其授权的部门调解不成的，当事人可以向人民法院提起民事诉讼。</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在水事纠纷解决前，当事人不得单方面改变现状。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2.【地方性法规】《广西土地山林水利权属纠纷调解处理条例》（2002年自治区第九届人民代表大会常务委员会第三十二次会议通过，2024年第二次修正）</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第十七条 个人之间、个人与单位之间、单位之间发生的水利工程权属纠纷，由县级以上人民政府处理。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个人之间、个人与单位之间、单位之间因水资源使用权引发的纠纷，权属纠纷当事人可以申请县级以上人民政府或者其授权的部门调解，也可以直接向人民法院提起民事诉讼。</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不同行政区域之间发生水资源使用权纠纷的，应当协商处理；协商不成的，由上一级人民政府裁决，有关各方必须遵照执行。</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第十八条 跨乡镇或者跨县行政区域的土地、山林和水利工程权属纠纷，由权属纠纷当事人各方共同的上一级人民政府处理。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跨设区的市行政区域的土地、山林和水利工程权属纠纷，由自治区人民政府处理或者由自治区人民政府指定处理机关处理。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上级人民政府认为有必要的，可以直接处理下级人民政府有权处理的权属纠纷。</w:t>
            </w:r>
          </w:p>
        </w:tc>
        <w:tc>
          <w:tcPr>
            <w:tcW w:w="4075" w:type="dxa"/>
            <w:shd w:val="clear" w:color="auto" w:fill="auto"/>
            <w:tcMar>
              <w:top w:w="10" w:type="dxa"/>
              <w:left w:w="10" w:type="dxa"/>
              <w:right w:w="10" w:type="dxa"/>
            </w:tcMar>
            <w:vAlign w:val="center"/>
          </w:tcPr>
          <w:p w14:paraId="2E3F9A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1.受理环节责任：对水利工程项目招标投诉或纠纷事项进行初步了解，确定是否受理范围，依法作出受理或不受理决定。（政策法规科）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2.调查环节责任：对投诉或纠纷事项进行调查，充分收集证据，弄清事实真相.纠纷事由.双方诉求，找出调解的思路和方法。（政策法规科）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3.处理环节责任：公平、公正地处理投诉事件的，要在法定期限内依法作出裁决并告知当事人救济权利与渠道。（政策法规科）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4.其他法律法规政策规定应履行的责任。（政策法规科）</w:t>
            </w:r>
          </w:p>
        </w:tc>
        <w:tc>
          <w:tcPr>
            <w:tcW w:w="8460" w:type="dxa"/>
            <w:shd w:val="clear" w:color="auto" w:fill="auto"/>
            <w:tcMar>
              <w:top w:w="10" w:type="dxa"/>
              <w:left w:w="10" w:type="dxa"/>
              <w:right w:w="10" w:type="dxa"/>
            </w:tcMar>
            <w:vAlign w:val="center"/>
          </w:tcPr>
          <w:p w14:paraId="4A91F14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地方性法规】《广西壮族自治区土地山林水利权属纠纷调解处理条例》（2002年9月27日广西壮族自治区第九届人民代表大会常务委员会第三十二次会议通过，2013年9月26日第一次修订，2024年3月28日第二次修订）第二十一条　土地、山林和水利工程权属纠纷申请提交后，处理机关发现不符合第十九条、第二十条规定的，应当在收到申请材料后的五日内告知申请人补正。补正通知应当载明需要补正的事项和合理的补正期限，无正当理由逾期不补正的，视为申请人放弃申请。</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2.【地方性法规】《广西壮族自治区土地山林水利权属纠纷调解处理条例》（2002年自治区第九届人民代表大会常务委员会第三十二次会议通过，2024年第二次修正）第二十五条　土地、山林和水利工程权属纠纷确权处理应当按照下列程序进行：（一）实地调查，核实证据；（二）听取各方当事人意见；（三）组织和解、调解；（四）行政主管部门集体讨论提出确权建议；（五）人民政府集体讨论决定。</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3.【法律】《中华人民共和国水法》（1988年1月21日第六届全国人民代表大会常务委员会第二十四次会议通过，2002年8月29日修订，2009年8月27日第一次修正，2016年7月2日第二次修正）第五十六条　不同行政区域之间发生水事纠纷的，应当协商处理；协商不成的，由上一级人民政府裁决，有关各方必须遵照执行。在水事纠纷解决前，未经各方达成协议或者共同的上一级人民政府批准，在行政区域交界线两侧一定范围内，任何一方不得修建排水、阻水、取水和截（蓄）水工程，不得单方面改变水的现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4.【法律】《中华人民共和国水法》（1988年1月21日第六届全国人民代表大会常务委员会第二十四次会议通过，2002年8月29日修订，2009年8月27日第一次修正，2016年7月2日第二次修正）第五十九条　县级以上人民政府水行政主管部门和流域管理机构应当对违反本法的行为加强监督检查并依法进行查处。水政监督检查人员应当忠于职守，秉公执法。</w:t>
            </w:r>
          </w:p>
        </w:tc>
        <w:tc>
          <w:tcPr>
            <w:tcW w:w="3286" w:type="dxa"/>
            <w:shd w:val="clear" w:color="auto" w:fill="auto"/>
            <w:tcMar>
              <w:top w:w="10" w:type="dxa"/>
              <w:left w:w="10" w:type="dxa"/>
              <w:right w:w="10" w:type="dxa"/>
            </w:tcMar>
            <w:vAlign w:val="center"/>
          </w:tcPr>
          <w:p w14:paraId="10C4A91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1.符合法定条件未受理、未办理的（机关纪委）；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2.不符合法定条件受理、办理的（机关纪委）；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3.不履行或不正确履行行政职权出现不良后果的（机关纪委）；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4.在行政职权行使过程中失职、渎职的（机关纪委）；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5.出现腐败行为的（机关纪委）；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532367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行政机关公务员处分条例》（2007国务院令第495号公布）第二十条：第（四）项有下列行为之一的，给予记过、记大过处分；情节较重的，给予降级或者撤职处分；情节严重的，给予开除处分：（四）其他玩忽职守、贻误工作的行为。</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3－1.【行政法规】《行政机关公务员处分条例》（2007国务院令第495号公布）第二十八条：严重违反公务员职业道德，工作作风懈怠、工作态度恶劣，造成不良影响的，给予警告、记过或者记大过处分。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2.【行政法规】《行政机关公务员处分条例》（2007国务院令第495号公布）第二十六条：泄露国家秘密、工作秘密，或者泄露因履行职责掌握的商业秘密、个人隐私，造成不良后果的，给予记过、警告或者记大过处分；情节较重的，给予降级或者撤职处分；情节严重的，给予开除处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行政法规】《行政机关公务员处分条例》（2007国务院令第495号公布）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tc>
        <w:tc>
          <w:tcPr>
            <w:tcW w:w="950" w:type="dxa"/>
            <w:shd w:val="clear" w:color="auto" w:fill="auto"/>
            <w:tcMar>
              <w:top w:w="10" w:type="dxa"/>
              <w:left w:w="10" w:type="dxa"/>
              <w:right w:w="10" w:type="dxa"/>
            </w:tcMar>
            <w:vAlign w:val="center"/>
          </w:tcPr>
          <w:p w14:paraId="259F3DE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27F78D15">
            <w:pPr>
              <w:jc w:val="center"/>
              <w:rPr>
                <w:rFonts w:hint="default" w:ascii="仿宋_GB2312" w:hAnsi="宋体" w:eastAsia="仿宋_GB2312" w:cs="仿宋_GB2312"/>
                <w:i w:val="0"/>
                <w:iCs w:val="0"/>
                <w:strike w:val="0"/>
                <w:dstrike w:val="0"/>
                <w:color w:val="000000"/>
                <w:sz w:val="21"/>
                <w:szCs w:val="21"/>
                <w:u w:val="none"/>
              </w:rPr>
            </w:pPr>
          </w:p>
        </w:tc>
      </w:tr>
      <w:tr w14:paraId="5E0E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5" w:hRule="atLeast"/>
        </w:trPr>
        <w:tc>
          <w:tcPr>
            <w:tcW w:w="537" w:type="dxa"/>
            <w:shd w:val="clear" w:color="auto" w:fill="auto"/>
            <w:tcMar>
              <w:top w:w="10" w:type="dxa"/>
              <w:left w:w="10" w:type="dxa"/>
              <w:right w:w="10" w:type="dxa"/>
            </w:tcMar>
            <w:vAlign w:val="center"/>
          </w:tcPr>
          <w:p w14:paraId="0F5E172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180 </w:t>
            </w:r>
          </w:p>
        </w:tc>
        <w:tc>
          <w:tcPr>
            <w:tcW w:w="775" w:type="dxa"/>
            <w:shd w:val="clear" w:color="auto" w:fill="auto"/>
            <w:tcMar>
              <w:top w:w="10" w:type="dxa"/>
              <w:left w:w="10" w:type="dxa"/>
              <w:right w:w="10" w:type="dxa"/>
            </w:tcMar>
            <w:vAlign w:val="center"/>
          </w:tcPr>
          <w:p w14:paraId="3C7ACB91">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行政裁决</w:t>
            </w:r>
          </w:p>
        </w:tc>
        <w:tc>
          <w:tcPr>
            <w:tcW w:w="923" w:type="dxa"/>
            <w:shd w:val="clear" w:color="auto" w:fill="auto"/>
            <w:tcMar>
              <w:top w:w="10" w:type="dxa"/>
              <w:left w:w="10" w:type="dxa"/>
              <w:right w:w="10" w:type="dxa"/>
            </w:tcMar>
            <w:vAlign w:val="center"/>
          </w:tcPr>
          <w:p w14:paraId="731BFDB1">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对不同行政区域之间发生水土流失纠纷裁决的初审</w:t>
            </w:r>
          </w:p>
        </w:tc>
        <w:tc>
          <w:tcPr>
            <w:tcW w:w="548" w:type="dxa"/>
            <w:shd w:val="clear" w:color="auto" w:fill="auto"/>
            <w:tcMar>
              <w:top w:w="10" w:type="dxa"/>
              <w:left w:w="10" w:type="dxa"/>
              <w:right w:w="10" w:type="dxa"/>
            </w:tcMar>
            <w:vAlign w:val="center"/>
          </w:tcPr>
          <w:p w14:paraId="54DF066A">
            <w:pPr>
              <w:jc w:val="center"/>
              <w:rPr>
                <w:rFonts w:hint="default" w:ascii="仿宋_GB2312" w:hAnsi="宋体" w:eastAsia="仿宋_GB2312" w:cs="仿宋_GB2312"/>
                <w:i w:val="0"/>
                <w:iCs w:val="0"/>
                <w:strike w:val="0"/>
                <w:dstrike w:val="0"/>
                <w:color w:val="000000"/>
                <w:sz w:val="21"/>
                <w:szCs w:val="21"/>
                <w:u w:val="none"/>
              </w:rPr>
            </w:pPr>
          </w:p>
        </w:tc>
        <w:tc>
          <w:tcPr>
            <w:tcW w:w="940" w:type="dxa"/>
            <w:shd w:val="clear" w:color="auto" w:fill="auto"/>
            <w:tcMar>
              <w:top w:w="10" w:type="dxa"/>
              <w:left w:w="10" w:type="dxa"/>
              <w:right w:w="10" w:type="dxa"/>
            </w:tcMar>
            <w:vAlign w:val="center"/>
          </w:tcPr>
          <w:p w14:paraId="3A43C0D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柳州市水利局</w:t>
            </w:r>
          </w:p>
        </w:tc>
        <w:tc>
          <w:tcPr>
            <w:tcW w:w="957" w:type="dxa"/>
            <w:shd w:val="clear" w:color="auto" w:fill="auto"/>
            <w:tcMar>
              <w:top w:w="10" w:type="dxa"/>
              <w:left w:w="10" w:type="dxa"/>
              <w:right w:w="10" w:type="dxa"/>
            </w:tcMar>
            <w:vAlign w:val="center"/>
          </w:tcPr>
          <w:p w14:paraId="708EE45A">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水土保持与水资源科</w:t>
            </w:r>
          </w:p>
        </w:tc>
        <w:tc>
          <w:tcPr>
            <w:tcW w:w="2789" w:type="dxa"/>
            <w:shd w:val="clear" w:color="auto" w:fill="auto"/>
            <w:tcMar>
              <w:top w:w="10" w:type="dxa"/>
              <w:left w:w="10" w:type="dxa"/>
              <w:right w:w="10" w:type="dxa"/>
            </w:tcMar>
            <w:vAlign w:val="center"/>
          </w:tcPr>
          <w:p w14:paraId="53955484">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1.【法律】《中华人民共和国水土保持法》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第四十六条 不同行政区域之间发生水土流失纠纷应当协商解决；协商不成的，由共同的上一级人民政府裁决。</w:t>
            </w:r>
          </w:p>
        </w:tc>
        <w:tc>
          <w:tcPr>
            <w:tcW w:w="4075" w:type="dxa"/>
            <w:shd w:val="clear" w:color="auto" w:fill="auto"/>
            <w:tcMar>
              <w:top w:w="10" w:type="dxa"/>
              <w:left w:w="10" w:type="dxa"/>
              <w:right w:w="10" w:type="dxa"/>
            </w:tcMar>
            <w:vAlign w:val="center"/>
          </w:tcPr>
          <w:p w14:paraId="7E7AA9DE">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1.受理阶段责任：公示依法应当提交的材料；一次性告知补正材料；依法受理或不予受理（不予受理的应当告知理由）；（水土保持与水资源科）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2.审查阶段责任：依法对裁决申报材料审核、提出意见；（水土保持与水资源科）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组织调解责任：对管辖范围内的水土流失纠纷案件，通过双方座谈查勘，组织召开协调会议等多种方式进行协商处理。能够协商一致达成一致意见的，出具会议纪要，约束双方共同遵守。（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政府裁决责任：不能协商解决的，拟定处理意见报自治区人民政府裁决或由纠纷方政府报请自治区人民政府裁决（裁决书说明裁决的理由和依据，并告知当事人享有依法申请行政复议或者提起行政诉讼的权利）。（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5.事后监管责任：水事纠纷裁决生效后，争议各方应当自觉履行，水行政主管部门应当对执行情况进行监督检查，发现的问题应当及时向政府和有关部门通报。（水土保持与水资源科）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6、其他法律法规政策规定应当履行的责任。（水土保持与水资源科）</w:t>
            </w:r>
          </w:p>
        </w:tc>
        <w:tc>
          <w:tcPr>
            <w:tcW w:w="8460" w:type="dxa"/>
            <w:shd w:val="clear" w:color="auto" w:fill="auto"/>
            <w:tcMar>
              <w:top w:w="10" w:type="dxa"/>
              <w:left w:w="10" w:type="dxa"/>
              <w:right w:w="10" w:type="dxa"/>
            </w:tcMar>
            <w:vAlign w:val="center"/>
          </w:tcPr>
          <w:p w14:paraId="40EC880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1.【法律】《中华人民共和国水土保持法》</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第四十六条 不同行政区域之间发生水土流失纠纷应当协商解决；协商不成的，由共同的上一级人民政府裁决。</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4.同1。</w:t>
            </w:r>
          </w:p>
        </w:tc>
        <w:tc>
          <w:tcPr>
            <w:tcW w:w="3286" w:type="dxa"/>
            <w:shd w:val="clear" w:color="auto" w:fill="auto"/>
            <w:tcMar>
              <w:top w:w="10" w:type="dxa"/>
              <w:left w:w="10" w:type="dxa"/>
              <w:right w:w="10" w:type="dxa"/>
            </w:tcMar>
            <w:vAlign w:val="center"/>
          </w:tcPr>
          <w:p w14:paraId="3620C29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因不履行或不正确履行行政职责，有下列情形的，行政机关及相关工作人员应承担相应责任：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1.符合法定条件未受理、未办理的（机关纪委）；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2.不符合法定条件受理、办理的（机关纪委）；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3.不履行或不正确履行行政职权出现不良后果的（机关纪委）；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4.在行政职权行使过程中失职、渎职的（机关纪委）；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5.出现腐败行为的（机关纪委）；</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50DBB2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eastAsia" w:ascii="宋体" w:hAnsi="宋体" w:eastAsia="宋体" w:cs="宋体"/>
                <w:b w:val="0"/>
                <w:bCs/>
                <w:i w:val="0"/>
                <w:color w:val="000000"/>
                <w:kern w:val="0"/>
                <w:sz w:val="15"/>
                <w:szCs w:val="15"/>
                <w:u w:val="none"/>
                <w:lang w:val="en-US" w:eastAsia="zh-CN" w:bidi="ar"/>
              </w:rPr>
              <w:t>.</w:t>
            </w:r>
            <w:r>
              <w:rPr>
                <w:rFonts w:hint="eastAsia" w:ascii="仿宋_GB2312" w:hAnsi="宋体" w:eastAsia="仿宋_GB2312" w:cs="仿宋_GB2312"/>
                <w:i w:val="0"/>
                <w:iCs w:val="0"/>
                <w:strike w:val="0"/>
                <w:dstrike w:val="0"/>
                <w:color w:val="000000"/>
                <w:sz w:val="21"/>
                <w:szCs w:val="21"/>
                <w:u w:val="none"/>
                <w:lang w:val="en-US" w:eastAsia="zh-CN"/>
              </w:rPr>
              <w:t>【法律】《中华人民共和国公职人员政务处分法》第三十九条　有下列行为之一，造成不良后果或者影响的，予以警告、记过或者记大过；情节较重的，予以降级或者撤职；情节严重的，予以开除：（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r>
              <w:rPr>
                <w:rFonts w:hint="eastAsia" w:ascii="仿宋_GB2312" w:hAnsi="宋体" w:eastAsia="仿宋_GB2312" w:cs="仿宋_GB2312"/>
                <w:i w:val="0"/>
                <w:iCs w:val="0"/>
                <w:strike w:val="0"/>
                <w:dstrike w:val="0"/>
                <w:color w:val="000000"/>
                <w:sz w:val="21"/>
                <w:szCs w:val="21"/>
                <w:u w:val="none"/>
                <w:lang w:val="en-US" w:eastAsia="zh-CN"/>
              </w:rPr>
              <w:br w:type="textWrapping"/>
            </w:r>
            <w:r>
              <w:rPr>
                <w:rFonts w:hint="eastAsia" w:ascii="仿宋_GB2312" w:hAnsi="宋体" w:eastAsia="仿宋_GB2312" w:cs="仿宋_GB2312"/>
                <w:i w:val="0"/>
                <w:iCs w:val="0"/>
                <w:strike w:val="0"/>
                <w:dstrike w:val="0"/>
                <w:color w:val="000000"/>
                <w:sz w:val="21"/>
                <w:szCs w:val="21"/>
                <w:u w:val="none"/>
                <w:lang w:val="en-US" w:eastAsia="zh-CN"/>
              </w:rPr>
              <w:t>2.同1。</w:t>
            </w:r>
            <w:r>
              <w:rPr>
                <w:rFonts w:hint="eastAsia" w:ascii="仿宋_GB2312" w:hAnsi="宋体" w:eastAsia="仿宋_GB2312" w:cs="仿宋_GB2312"/>
                <w:i w:val="0"/>
                <w:iCs w:val="0"/>
                <w:strike w:val="0"/>
                <w:dstrike w:val="0"/>
                <w:color w:val="000000"/>
                <w:sz w:val="21"/>
                <w:szCs w:val="21"/>
                <w:u w:val="none"/>
                <w:lang w:val="en-US" w:eastAsia="zh-CN"/>
              </w:rPr>
              <w:br w:type="textWrapping"/>
            </w:r>
            <w:r>
              <w:rPr>
                <w:rFonts w:hint="eastAsia" w:ascii="仿宋_GB2312" w:hAnsi="宋体" w:eastAsia="仿宋_GB2312" w:cs="仿宋_GB2312"/>
                <w:i w:val="0"/>
                <w:iCs w:val="0"/>
                <w:strike w:val="0"/>
                <w:dstrike w:val="0"/>
                <w:color w:val="000000"/>
                <w:sz w:val="21"/>
                <w:szCs w:val="21"/>
                <w:u w:val="none"/>
                <w:lang w:val="en-US" w:eastAsia="zh-CN"/>
              </w:rPr>
              <w:t>3.同1。</w:t>
            </w:r>
            <w:r>
              <w:rPr>
                <w:rFonts w:hint="eastAsia" w:ascii="仿宋_GB2312" w:hAnsi="宋体" w:eastAsia="仿宋_GB2312" w:cs="仿宋_GB2312"/>
                <w:i w:val="0"/>
                <w:iCs w:val="0"/>
                <w:strike w:val="0"/>
                <w:dstrike w:val="0"/>
                <w:color w:val="000000"/>
                <w:sz w:val="21"/>
                <w:szCs w:val="21"/>
                <w:u w:val="none"/>
                <w:lang w:val="en-US" w:eastAsia="zh-CN"/>
              </w:rPr>
              <w:br w:type="textWrapping"/>
            </w:r>
            <w:r>
              <w:rPr>
                <w:rFonts w:hint="eastAsia" w:ascii="仿宋_GB2312" w:hAnsi="宋体" w:eastAsia="仿宋_GB2312" w:cs="仿宋_GB2312"/>
                <w:i w:val="0"/>
                <w:iCs w:val="0"/>
                <w:strike w:val="0"/>
                <w:dstrike w:val="0"/>
                <w:color w:val="000000"/>
                <w:sz w:val="21"/>
                <w:szCs w:val="21"/>
                <w:u w:val="none"/>
                <w:lang w:val="en-US" w:eastAsia="zh-CN"/>
              </w:rPr>
              <w:t>4.同1。</w:t>
            </w:r>
            <w:r>
              <w:rPr>
                <w:rFonts w:hint="eastAsia" w:ascii="仿宋_GB2312" w:hAnsi="宋体" w:eastAsia="仿宋_GB2312" w:cs="仿宋_GB2312"/>
                <w:i w:val="0"/>
                <w:iCs w:val="0"/>
                <w:strike w:val="0"/>
                <w:dstrike w:val="0"/>
                <w:color w:val="000000"/>
                <w:sz w:val="21"/>
                <w:szCs w:val="21"/>
                <w:u w:val="none"/>
                <w:lang w:val="en-US" w:eastAsia="zh-CN"/>
              </w:rPr>
              <w:br w:type="textWrapping"/>
            </w:r>
            <w:r>
              <w:rPr>
                <w:rFonts w:hint="eastAsia" w:ascii="仿宋_GB2312" w:hAnsi="宋体" w:eastAsia="仿宋_GB2312" w:cs="仿宋_GB2312"/>
                <w:i w:val="0"/>
                <w:iCs w:val="0"/>
                <w:strike w:val="0"/>
                <w:dstrike w:val="0"/>
                <w:color w:val="000000"/>
                <w:sz w:val="21"/>
                <w:szCs w:val="21"/>
                <w:u w:val="none"/>
                <w:lang w:val="en-US" w:eastAsia="zh-CN"/>
              </w:rPr>
              <w:t>5.【法律】《中华人民共和国公职人员政务处分法》第三十三条　有下列行为之一的，予以警告、记过或者记大过；情节较重的，予以降级或者撤职；情节严重的，予以开除：（一）贪污贿赂的；（二）利用职权或者职务上的影响为本人或者他人谋取私利的；（三）纵容、默许特定关系人利用本人职权或者职务上的影响谋取私利的。</w:t>
            </w:r>
            <w:r>
              <w:rPr>
                <w:rFonts w:hint="eastAsia" w:ascii="仿宋_GB2312" w:hAnsi="宋体" w:eastAsia="仿宋_GB2312" w:cs="仿宋_GB2312"/>
                <w:i w:val="0"/>
                <w:iCs w:val="0"/>
                <w:strike w:val="0"/>
                <w:dstrike w:val="0"/>
                <w:color w:val="000000"/>
                <w:sz w:val="21"/>
                <w:szCs w:val="21"/>
                <w:u w:val="none"/>
                <w:lang w:val="en-US" w:eastAsia="zh-CN"/>
              </w:rPr>
              <w:br w:type="textWrapping"/>
            </w:r>
            <w:r>
              <w:rPr>
                <w:rFonts w:hint="eastAsia" w:ascii="仿宋_GB2312" w:hAnsi="宋体" w:eastAsia="仿宋_GB2312" w:cs="仿宋_GB2312"/>
                <w:i w:val="0"/>
                <w:iCs w:val="0"/>
                <w:strike w:val="0"/>
                <w:dstrike w:val="0"/>
                <w:color w:val="000000"/>
                <w:sz w:val="21"/>
                <w:szCs w:val="21"/>
                <w:u w:val="none"/>
                <w:lang w:val="en-US" w:eastAsia="zh-CN"/>
              </w:rPr>
              <w:t>拒不按照规定纠正特定关系人违规任职、兼职或者从事经营活动，且不服从职务调整的，予以撤职。</w:t>
            </w:r>
            <w:r>
              <w:rPr>
                <w:rFonts w:hint="eastAsia" w:ascii="仿宋_GB2312" w:hAnsi="宋体" w:eastAsia="仿宋_GB2312" w:cs="仿宋_GB2312"/>
                <w:i w:val="0"/>
                <w:iCs w:val="0"/>
                <w:strike w:val="0"/>
                <w:dstrike w:val="0"/>
                <w:color w:val="000000"/>
                <w:sz w:val="21"/>
                <w:szCs w:val="21"/>
                <w:u w:val="none"/>
                <w:lang w:val="en-US" w:eastAsia="zh-CN"/>
              </w:rPr>
              <w:br w:type="textWrapping"/>
            </w:r>
            <w:r>
              <w:rPr>
                <w:rFonts w:hint="eastAsia" w:ascii="仿宋_GB2312" w:hAnsi="宋体" w:eastAsia="仿宋_GB2312" w:cs="仿宋_GB2312"/>
                <w:i w:val="0"/>
                <w:iCs w:val="0"/>
                <w:strike w:val="0"/>
                <w:dstrike w:val="0"/>
                <w:color w:val="000000"/>
                <w:sz w:val="21"/>
                <w:szCs w:val="21"/>
                <w:u w:val="none"/>
                <w:lang w:val="en-US" w:eastAsia="zh-CN"/>
              </w:rPr>
              <w:t>第三十四条第一款 收受可能影响公正行使公权力的礼品、礼金、有价证券等财物的，予以警告、记过或者记大过；情节较重的，予以降级或者撤职；情节严重的，予以开除。</w:t>
            </w:r>
          </w:p>
        </w:tc>
        <w:tc>
          <w:tcPr>
            <w:tcW w:w="950" w:type="dxa"/>
            <w:shd w:val="clear" w:color="auto" w:fill="auto"/>
            <w:tcMar>
              <w:top w:w="10" w:type="dxa"/>
              <w:left w:w="10" w:type="dxa"/>
              <w:right w:w="10" w:type="dxa"/>
            </w:tcMar>
            <w:vAlign w:val="center"/>
          </w:tcPr>
          <w:p w14:paraId="5DB1071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0283833">
            <w:pPr>
              <w:jc w:val="center"/>
              <w:rPr>
                <w:rFonts w:hint="default" w:ascii="仿宋_GB2312" w:hAnsi="宋体" w:eastAsia="仿宋_GB2312" w:cs="仿宋_GB2312"/>
                <w:i w:val="0"/>
                <w:iCs w:val="0"/>
                <w:strike w:val="0"/>
                <w:dstrike w:val="0"/>
                <w:color w:val="000000"/>
                <w:sz w:val="21"/>
                <w:szCs w:val="21"/>
                <w:u w:val="none"/>
              </w:rPr>
            </w:pPr>
          </w:p>
        </w:tc>
      </w:tr>
      <w:tr w14:paraId="0569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3FC2AFC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181 </w:t>
            </w:r>
          </w:p>
        </w:tc>
        <w:tc>
          <w:tcPr>
            <w:tcW w:w="775" w:type="dxa"/>
            <w:shd w:val="clear" w:color="auto" w:fill="auto"/>
            <w:tcMar>
              <w:top w:w="10" w:type="dxa"/>
              <w:left w:w="10" w:type="dxa"/>
              <w:right w:w="10" w:type="dxa"/>
            </w:tcMar>
            <w:vAlign w:val="center"/>
          </w:tcPr>
          <w:p w14:paraId="6CC9EF4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其他行政权力</w:t>
            </w:r>
          </w:p>
        </w:tc>
        <w:tc>
          <w:tcPr>
            <w:tcW w:w="923" w:type="dxa"/>
            <w:shd w:val="clear" w:color="auto" w:fill="auto"/>
            <w:tcMar>
              <w:top w:w="10" w:type="dxa"/>
              <w:left w:w="10" w:type="dxa"/>
              <w:right w:w="10" w:type="dxa"/>
            </w:tcMar>
            <w:vAlign w:val="center"/>
          </w:tcPr>
          <w:p w14:paraId="38B4F955">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政府投资建设项目阶段验收和竣工验收</w:t>
            </w:r>
          </w:p>
        </w:tc>
        <w:tc>
          <w:tcPr>
            <w:tcW w:w="548" w:type="dxa"/>
            <w:shd w:val="clear" w:color="auto" w:fill="auto"/>
            <w:tcMar>
              <w:top w:w="10" w:type="dxa"/>
              <w:left w:w="10" w:type="dxa"/>
              <w:right w:w="10" w:type="dxa"/>
            </w:tcMar>
            <w:vAlign w:val="center"/>
          </w:tcPr>
          <w:p w14:paraId="174F4ED2">
            <w:pPr>
              <w:jc w:val="center"/>
              <w:rPr>
                <w:rFonts w:hint="default" w:ascii="仿宋_GB2312" w:hAnsi="宋体" w:eastAsia="仿宋_GB2312" w:cs="仿宋_GB2312"/>
                <w:i w:val="0"/>
                <w:iCs w:val="0"/>
                <w:strike w:val="0"/>
                <w:dstrike w:val="0"/>
                <w:color w:val="000000"/>
                <w:sz w:val="21"/>
                <w:szCs w:val="21"/>
                <w:highlight w:val="none"/>
                <w:u w:val="none"/>
              </w:rPr>
            </w:pPr>
          </w:p>
        </w:tc>
        <w:tc>
          <w:tcPr>
            <w:tcW w:w="940" w:type="dxa"/>
            <w:shd w:val="clear" w:color="auto" w:fill="auto"/>
            <w:tcMar>
              <w:top w:w="10" w:type="dxa"/>
              <w:left w:w="10" w:type="dxa"/>
              <w:right w:w="10" w:type="dxa"/>
            </w:tcMar>
            <w:vAlign w:val="center"/>
          </w:tcPr>
          <w:p w14:paraId="737D48C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柳州市水利局</w:t>
            </w:r>
          </w:p>
        </w:tc>
        <w:tc>
          <w:tcPr>
            <w:tcW w:w="957" w:type="dxa"/>
            <w:shd w:val="clear" w:color="auto" w:fill="auto"/>
            <w:tcMar>
              <w:top w:w="10" w:type="dxa"/>
              <w:left w:w="10" w:type="dxa"/>
              <w:right w:w="10" w:type="dxa"/>
            </w:tcMar>
            <w:vAlign w:val="center"/>
          </w:tcPr>
          <w:p w14:paraId="01CE8528">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工程建设科</w:t>
            </w:r>
          </w:p>
        </w:tc>
        <w:tc>
          <w:tcPr>
            <w:tcW w:w="2789" w:type="dxa"/>
            <w:shd w:val="clear" w:color="auto" w:fill="auto"/>
            <w:tcMar>
              <w:top w:w="10" w:type="dxa"/>
              <w:left w:w="10" w:type="dxa"/>
              <w:right w:w="10" w:type="dxa"/>
            </w:tcMar>
            <w:vAlign w:val="center"/>
          </w:tcPr>
          <w:p w14:paraId="600F18B7">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1.【部门规章】《水利工程建设项目验收管理规定》（2006年水利部令第30号发布，2017年水利部令第49号第三次修改）</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第二条 本规定适用于由中央或者地方财政全部投资或者部分投资建设的大中型水利工程建设项目（含1、2、3级堤防工程）的验收活动。</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第三条 水利工程建设项目验收，按验收主持单位性质不同分为法人验收和政府验收两类。政府验收是指由有关人民政府、水行政主管部门或者其他有关部门组织进行的验收，包括专项验收、阶段验收和竣工验收。</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第四条 水利工程建设项目具备验收条件时，应当及时组织验收。未经验收或者验收不合格的，不得交付使用或者进行后续工程施工。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第十条 县级以上地方人民政府水行政主管部门按照规定权限负责本行政区域内水利工程建设项目验收的监督工作。</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第二十条 地方负责初步设计审批的项目，竣工验收主持单位为省级人民政府水行政主管部门（或者其委托的单位）。</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2.【行政法规】《建设工程质量管理条例》（2000年国务院令第279号发布，2019年国务院令第714号修订）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第十六条 建设单位收到建设工程竣工报告后，应当组织设计、施工、工程监理等有关单位进行竣工验收。建设工程竣工验收应当具备下列条件：（一）完成建设工程设计和合同约定的各项内容；（二）有完整的技术档案和施工管理资料；（三）有工程使用的主要建筑材料、建筑构配件和设备的进场试验报告；（四）有勘察、设计、施工、工程监理等单位分别签署的质量合格文件；</w:t>
            </w:r>
          </w:p>
        </w:tc>
        <w:tc>
          <w:tcPr>
            <w:tcW w:w="4075" w:type="dxa"/>
            <w:shd w:val="clear" w:color="auto" w:fill="auto"/>
            <w:tcMar>
              <w:top w:w="10" w:type="dxa"/>
              <w:left w:w="10" w:type="dxa"/>
              <w:right w:w="10" w:type="dxa"/>
            </w:tcMar>
            <w:vAlign w:val="center"/>
          </w:tcPr>
          <w:p w14:paraId="3FFD5DA5">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1.受理阶段责任：公示依法应当提交的材料；一次性告知补正材料，依法受理或不予受理（不予受理的，应当告知理由）；（工程建设科）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2.审查阶段责任：对申请材料进行审核，组织专家验收组，按规定程序进行验收；（工程建设科）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3.决定阶段责任：作出验收合格或不合格的决定（不合格的，应当告知理由，提出整改意见，限期整改）；（工程建设科）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4.送达阶段责任：制发并送达合格证；</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5.事后监管责任：对验收材料进行归档和信息公开；（工程建设科）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6.其他法律法规规章文件规定应履行的责任。（工程建设科）</w:t>
            </w:r>
          </w:p>
        </w:tc>
        <w:tc>
          <w:tcPr>
            <w:tcW w:w="8460" w:type="dxa"/>
            <w:shd w:val="clear" w:color="auto" w:fill="auto"/>
            <w:tcMar>
              <w:top w:w="10" w:type="dxa"/>
              <w:left w:w="10" w:type="dxa"/>
              <w:right w:w="10" w:type="dxa"/>
            </w:tcMar>
            <w:vAlign w:val="center"/>
          </w:tcPr>
          <w:p w14:paraId="720FCAC5">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1-1.【法律】《中华人民共和国行政许可法》第三十条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1-2.【法律】《中华人民共和国行政许可法》第三十二条 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3.同2。</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4.【法律】《中华人民共和国行政许可法》第四十四条 行政机关作出准予行政许可的决定，应当自作出决定之日起十日内向申请人颁发、送达行政许可证件，或者加贴标签、加盖检验、检测、检疫印章。</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5-1.【法律】《中华人民共和国行政许可法》第六十一条 行政机关应当建立健全监督制度，通过核查反映被许可人从事行政许可事项活动情况的有关材料，履行监督责任。</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5-2.【法律】《中华人民共和国行政许可法》第四十条 行政机关作出的准予行政许可决定，应当予以公开，公众有权查阅。</w:t>
            </w:r>
          </w:p>
        </w:tc>
        <w:tc>
          <w:tcPr>
            <w:tcW w:w="3286" w:type="dxa"/>
            <w:shd w:val="clear" w:color="auto" w:fill="auto"/>
            <w:tcMar>
              <w:top w:w="10" w:type="dxa"/>
              <w:left w:w="10" w:type="dxa"/>
              <w:right w:w="10" w:type="dxa"/>
            </w:tcMar>
            <w:vAlign w:val="center"/>
          </w:tcPr>
          <w:p w14:paraId="66F7F96F">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因不履行或不正确履行行政职责，有下列情形的行政机关及相关工作人员应承担相应的责任：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 对符合法定条件的不予受理的（机关纪委）；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 对不符合有关法律法规的予以验收通过的（机关纪委）；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 未严格审查验收材料，造成纠纷或财产损失的（机关纪委）；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 监管不力或怠于履行职责的（机关纪委）；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 擅自增设、变更审查程序或核准条件的（机关纪委）；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 在行使行政权力中滥用职权、玩忽职守、徇私舞弊，造成较大损失的（机关纪委）；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404D3A8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689CCAE0">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E36C6EA">
            <w:pPr>
              <w:jc w:val="center"/>
              <w:rPr>
                <w:rFonts w:hint="default" w:ascii="仿宋_GB2312" w:hAnsi="宋体" w:eastAsia="仿宋_GB2312" w:cs="仿宋_GB2312"/>
                <w:i w:val="0"/>
                <w:iCs w:val="0"/>
                <w:strike w:val="0"/>
                <w:dstrike w:val="0"/>
                <w:color w:val="000000"/>
                <w:sz w:val="21"/>
                <w:szCs w:val="21"/>
                <w:u w:val="none"/>
              </w:rPr>
            </w:pPr>
          </w:p>
        </w:tc>
      </w:tr>
      <w:tr w14:paraId="6607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41BAEDB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182 </w:t>
            </w:r>
          </w:p>
        </w:tc>
        <w:tc>
          <w:tcPr>
            <w:tcW w:w="775" w:type="dxa"/>
            <w:shd w:val="clear" w:color="auto" w:fill="auto"/>
            <w:tcMar>
              <w:top w:w="10" w:type="dxa"/>
              <w:left w:w="10" w:type="dxa"/>
              <w:right w:w="10" w:type="dxa"/>
            </w:tcMar>
            <w:vAlign w:val="center"/>
          </w:tcPr>
          <w:p w14:paraId="6DDD8E55">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其他行政权力</w:t>
            </w:r>
          </w:p>
        </w:tc>
        <w:tc>
          <w:tcPr>
            <w:tcW w:w="923" w:type="dxa"/>
            <w:shd w:val="clear" w:color="auto" w:fill="auto"/>
            <w:tcMar>
              <w:top w:w="10" w:type="dxa"/>
              <w:left w:w="10" w:type="dxa"/>
              <w:right w:w="10" w:type="dxa"/>
            </w:tcMar>
            <w:vAlign w:val="center"/>
          </w:tcPr>
          <w:p w14:paraId="00E9AEA6">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年度用水计划下达</w:t>
            </w:r>
          </w:p>
        </w:tc>
        <w:tc>
          <w:tcPr>
            <w:tcW w:w="548" w:type="dxa"/>
            <w:shd w:val="clear" w:color="auto" w:fill="auto"/>
            <w:tcMar>
              <w:top w:w="10" w:type="dxa"/>
              <w:left w:w="10" w:type="dxa"/>
              <w:right w:w="10" w:type="dxa"/>
            </w:tcMar>
            <w:vAlign w:val="center"/>
          </w:tcPr>
          <w:p w14:paraId="7A8E6BF2">
            <w:pPr>
              <w:jc w:val="center"/>
              <w:rPr>
                <w:rFonts w:hint="default" w:ascii="仿宋_GB2312" w:hAnsi="宋体" w:eastAsia="仿宋_GB2312" w:cs="仿宋_GB2312"/>
                <w:i w:val="0"/>
                <w:iCs w:val="0"/>
                <w:strike w:val="0"/>
                <w:dstrike w:val="0"/>
                <w:color w:val="000000"/>
                <w:sz w:val="21"/>
                <w:szCs w:val="21"/>
                <w:highlight w:val="none"/>
                <w:u w:val="none"/>
              </w:rPr>
            </w:pPr>
          </w:p>
        </w:tc>
        <w:tc>
          <w:tcPr>
            <w:tcW w:w="940" w:type="dxa"/>
            <w:shd w:val="clear" w:color="auto" w:fill="auto"/>
            <w:tcMar>
              <w:top w:w="10" w:type="dxa"/>
              <w:left w:w="10" w:type="dxa"/>
              <w:right w:w="10" w:type="dxa"/>
            </w:tcMar>
            <w:vAlign w:val="center"/>
          </w:tcPr>
          <w:p w14:paraId="4C13BBA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柳州市水利局</w:t>
            </w:r>
          </w:p>
        </w:tc>
        <w:tc>
          <w:tcPr>
            <w:tcW w:w="957" w:type="dxa"/>
            <w:shd w:val="clear" w:color="auto" w:fill="auto"/>
            <w:tcMar>
              <w:top w:w="10" w:type="dxa"/>
              <w:left w:w="10" w:type="dxa"/>
              <w:right w:w="10" w:type="dxa"/>
            </w:tcMar>
            <w:vAlign w:val="center"/>
          </w:tcPr>
          <w:p w14:paraId="791E7B7A">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highlight w:val="none"/>
                <w:u w:val="none"/>
              </w:rPr>
            </w:pPr>
            <w:r>
              <w:rPr>
                <w:rFonts w:hint="default" w:ascii="仿宋_GB2312" w:hAnsi="宋体" w:eastAsia="仿宋_GB2312" w:cs="仿宋_GB2312"/>
                <w:i w:val="0"/>
                <w:iCs w:val="0"/>
                <w:strike w:val="0"/>
                <w:dstrike w:val="0"/>
                <w:color w:val="000000"/>
                <w:sz w:val="21"/>
                <w:szCs w:val="21"/>
                <w:highlight w:val="none"/>
                <w:u w:val="none"/>
              </w:rPr>
              <w:t>水土保持与水资源科</w:t>
            </w:r>
          </w:p>
        </w:tc>
        <w:tc>
          <w:tcPr>
            <w:tcW w:w="2789" w:type="dxa"/>
            <w:shd w:val="clear" w:color="auto" w:fill="auto"/>
            <w:tcMar>
              <w:top w:w="10" w:type="dxa"/>
              <w:left w:w="10" w:type="dxa"/>
              <w:right w:w="10" w:type="dxa"/>
            </w:tcMar>
            <w:vAlign w:val="center"/>
          </w:tcPr>
          <w:p w14:paraId="2D49EF2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1.【行政法规】《取水许可和水资源费征收管理条例》（2006年国务院令第460号发布，2017年国务院令第676号修订）</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第三条 县级以上人民政府水行政主管部门按照分级管理权限，负责取水许可制度的组织实施和监督管理。</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第四十条 取水审批机关依照本地区下一年度取水计划、取水单位或者个人提出的下一年度取水计划建议，按照统筹协调、综合平衡、留有余地的原则，向取水单位或者个人下达下一年度取水计划。</w:t>
            </w:r>
          </w:p>
        </w:tc>
        <w:tc>
          <w:tcPr>
            <w:tcW w:w="4075" w:type="dxa"/>
            <w:shd w:val="clear" w:color="auto" w:fill="auto"/>
            <w:tcMar>
              <w:top w:w="10" w:type="dxa"/>
              <w:left w:w="10" w:type="dxa"/>
              <w:right w:w="10" w:type="dxa"/>
            </w:tcMar>
            <w:vAlign w:val="center"/>
          </w:tcPr>
          <w:p w14:paraId="447F329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审查和决定阶段责任：依照本地区下一年度取水计划、取水单位或者个人提出的下一年度取水计划建议，按照统筹协调、综合平衡、留有余地的原则，研究取水单位或者个人下达下一年度取水计划。（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2.送达环节责任：送达取水计划决定书。（水土保持与水资源科）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3.事后监管责任：加强事中事后的监管。（水土保持与水资源科）</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4.其他法律法规规章文件应履行的责任。（水土保持与水资源科）</w:t>
            </w:r>
          </w:p>
        </w:tc>
        <w:tc>
          <w:tcPr>
            <w:tcW w:w="8460" w:type="dxa"/>
            <w:shd w:val="clear" w:color="auto" w:fill="auto"/>
            <w:tcMar>
              <w:top w:w="10" w:type="dxa"/>
              <w:left w:w="10" w:type="dxa"/>
              <w:right w:w="10" w:type="dxa"/>
            </w:tcMar>
            <w:vAlign w:val="center"/>
          </w:tcPr>
          <w:p w14:paraId="4794A8D2">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1.【行政法规】《取水许可和水资源费征收管理条例》（2006年国务院令第460号发布，2017年国务院令第676号修订）第四十条 取水审批机关依照本地区下一年度取水计划、取水单位或者个人提出的下一年度取水计划建议，按照统筹协调、综合平衡、留有余地的原则，向取水单位或者个人下达下一年度取水计划。</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2.同1。</w:t>
            </w:r>
            <w:r>
              <w:rPr>
                <w:rFonts w:hint="default" w:ascii="仿宋_GB2312" w:hAnsi="宋体" w:eastAsia="仿宋_GB2312" w:cs="仿宋_GB2312"/>
                <w:i w:val="0"/>
                <w:iCs w:val="0"/>
                <w:strike w:val="0"/>
                <w:dstrike w:val="0"/>
                <w:color w:val="000000"/>
                <w:sz w:val="21"/>
                <w:szCs w:val="21"/>
                <w:u w:val="none"/>
              </w:rPr>
              <w:br w:type="textWrapping"/>
            </w:r>
            <w:r>
              <w:rPr>
                <w:rFonts w:hint="default" w:ascii="仿宋_GB2312" w:hAnsi="宋体" w:eastAsia="仿宋_GB2312" w:cs="仿宋_GB2312"/>
                <w:i w:val="0"/>
                <w:iCs w:val="0"/>
                <w:strike w:val="0"/>
                <w:dstrike w:val="0"/>
                <w:color w:val="000000"/>
                <w:sz w:val="21"/>
                <w:szCs w:val="21"/>
                <w:u w:val="none"/>
              </w:rPr>
              <w:t>3.同1。</w:t>
            </w:r>
          </w:p>
        </w:tc>
        <w:tc>
          <w:tcPr>
            <w:tcW w:w="3286" w:type="dxa"/>
            <w:shd w:val="clear" w:color="auto" w:fill="auto"/>
            <w:tcMar>
              <w:top w:w="10" w:type="dxa"/>
              <w:left w:w="10" w:type="dxa"/>
              <w:right w:w="10" w:type="dxa"/>
            </w:tcMar>
            <w:vAlign w:val="center"/>
          </w:tcPr>
          <w:p w14:paraId="0E8D62F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因不履行或不正确履行行政职责，有下列情形的行政机关及相关工作人员应承担相应的责任：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 对符合法定条件的不予受理的（机关纪委）；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 对不符合有关法律法规的予以审下达用水计划的（机关纪委）；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 未严格审查申报材料，造成纠纷或财产损失的（机关纪委）；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 监管不力或怠于履行职责的（机关纪委）；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 擅自增设、变更审查程序或核准条件的（机关纪委）；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 在行使行政权力中滥用职权、玩忽职守、徇私舞弊，造成较大损失的（机关纪委）；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316851B">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054324DC">
            <w:pPr>
              <w:keepNext w:val="0"/>
              <w:keepLines w:val="0"/>
              <w:widowControl/>
              <w:suppressLineNumbers w:val="0"/>
              <w:jc w:val="left"/>
              <w:textAlignment w:val="center"/>
              <w:rPr>
                <w:rFonts w:hint="default" w:ascii="仿宋_GB2312" w:hAnsi="宋体" w:eastAsia="仿宋_GB2312" w:cs="仿宋_GB2312"/>
                <w:i w:val="0"/>
                <w:iCs w:val="0"/>
                <w:strike w:val="0"/>
                <w:dstrike w:val="0"/>
                <w:color w:val="000000"/>
                <w:sz w:val="21"/>
                <w:szCs w:val="21"/>
                <w:u w:val="none"/>
              </w:rPr>
            </w:pPr>
            <w:r>
              <w:rPr>
                <w:rFonts w:hint="default" w:ascii="仿宋_GB2312" w:hAnsi="宋体" w:eastAsia="仿宋_GB2312" w:cs="仿宋_GB2312"/>
                <w:i w:val="0"/>
                <w:iCs w:val="0"/>
                <w:strike w:val="0"/>
                <w:dstrike w:val="0"/>
                <w:color w:val="000000"/>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18B3AF09">
            <w:pPr>
              <w:jc w:val="center"/>
              <w:rPr>
                <w:rFonts w:hint="default" w:ascii="仿宋_GB2312" w:hAnsi="宋体" w:eastAsia="仿宋_GB2312" w:cs="仿宋_GB2312"/>
                <w:i w:val="0"/>
                <w:iCs w:val="0"/>
                <w:strike w:val="0"/>
                <w:dstrike w:val="0"/>
                <w:color w:val="000000"/>
                <w:sz w:val="21"/>
                <w:szCs w:val="21"/>
                <w:u w:val="none"/>
              </w:rPr>
            </w:pPr>
          </w:p>
        </w:tc>
      </w:tr>
      <w:tr w14:paraId="2197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53A670A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183 </w:t>
            </w:r>
          </w:p>
        </w:tc>
        <w:tc>
          <w:tcPr>
            <w:tcW w:w="775" w:type="dxa"/>
            <w:shd w:val="clear" w:color="auto" w:fill="auto"/>
            <w:tcMar>
              <w:top w:w="10" w:type="dxa"/>
              <w:left w:w="10" w:type="dxa"/>
              <w:right w:w="10" w:type="dxa"/>
            </w:tcMar>
            <w:vAlign w:val="center"/>
          </w:tcPr>
          <w:p w14:paraId="29A1815D">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其他行政权力</w:t>
            </w:r>
          </w:p>
        </w:tc>
        <w:tc>
          <w:tcPr>
            <w:tcW w:w="923" w:type="dxa"/>
            <w:shd w:val="clear" w:color="auto" w:fill="auto"/>
            <w:tcMar>
              <w:top w:w="10" w:type="dxa"/>
              <w:left w:w="10" w:type="dxa"/>
              <w:right w:w="10" w:type="dxa"/>
            </w:tcMar>
            <w:vAlign w:val="center"/>
          </w:tcPr>
          <w:p w14:paraId="339F21A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水利工程安全生产措施备案及水利工程拆除工程和爆破工程方案备案</w:t>
            </w:r>
          </w:p>
        </w:tc>
        <w:tc>
          <w:tcPr>
            <w:tcW w:w="548" w:type="dxa"/>
            <w:shd w:val="clear" w:color="auto" w:fill="auto"/>
            <w:tcMar>
              <w:top w:w="10" w:type="dxa"/>
              <w:left w:w="10" w:type="dxa"/>
              <w:right w:w="10" w:type="dxa"/>
            </w:tcMar>
            <w:vAlign w:val="center"/>
          </w:tcPr>
          <w:p w14:paraId="1D52396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4A28848">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F6BDE4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7E68AD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1.【行政法规】《建设工程安全生产管理条例》（2003年国务院令第393号发布）</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第十条第二款 依法批准开工报告的建设工程，建设单位应当自开工报告批准之日起15日内，将保证安全施工的措施报送建设工程所在地的县级以上地方人民政府建设行政主管部门或者其他有关部门备案。</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第十一条第二款 建设单位应当在拆除工程施工15日前，将下列资料报送建设工程所在地的县级以上地方人民政府建设行政主管部门或者其他有关部门备案：（一）施工单位资质等级证明；（二）拟拆除建筑物、构筑物及可能危及毗邻建筑的说明；（三）拆除施工组织方案；（四）堆放、清楚废弃物的措施。实施爆破作业的，应当遵守国家有关民用爆炸物品管理的规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第四十条第二款 县级以上地方人民政府建设行政主管部门对本行政区域内的建设工程安全生产实施监督管理。县级以上地方人民政府交通、水利等有关部门在各自的职责范围内，负责本行政区域内的专业建设工程安全生产的监督管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第四十一条 建设行政主管部门和其他有关部门应当将本条例第十条、第十一条规定的有关资料的主要内容抄送统计负责安全生产监督管理的部门。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2.【部门规章】《水利工程建设安全生产管理规定》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第九条 项目法人应当组织编制保证安全生产的措施方案，并自开工报告批准之日起15日内报有管辖权的水行政主管部门、流域管理机构或者其委托的水利工程建设安全生产监督机构（以下简称安全生产监督机构）备案。建设过程中安全生产的情况发生变化时，应当及时对保证安全生产的措施方案进行调整，并报原备案机关。</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第十一条 项目法人应当将水利工程中的拆除工程和爆破工程发包给具有相应水利水电工程施工资质等级的施工单位。</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项目法人应当在拆除工程或者爆破工程施工15日前，将下列资料报送水行政主管部门、流域管理机构或者其委托的安全生产监督机构备案：（一）拟拆除或拟爆破的工程及可能危及毗邻建筑物的说明；（二）施工组织方案；（三）堆放、清除废弃物的措施；（四）生产安全事故的应急救援预案。</w:t>
            </w:r>
          </w:p>
        </w:tc>
        <w:tc>
          <w:tcPr>
            <w:tcW w:w="4075" w:type="dxa"/>
            <w:shd w:val="clear" w:color="auto" w:fill="auto"/>
            <w:tcMar>
              <w:top w:w="10" w:type="dxa"/>
              <w:left w:w="10" w:type="dxa"/>
              <w:right w:w="10" w:type="dxa"/>
            </w:tcMar>
            <w:vAlign w:val="center"/>
          </w:tcPr>
          <w:p w14:paraId="0A8072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1.受理阶段责任：公示依法应当提交的材料；一次性告知补正材料；依法受理或不予受理（不予受理的，将《不予受理通知书》交办件人）。（工程监督管理科（水旱灾害防御科））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审查阶段责任：受理后审查是否符合备案的材料要求，作出准予备案或无需备案的决定（无需备案的说明理由），制作备案函件或无需备案函件，当场交办件人；信息公开。（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3.事后监管责任：开展后续监督管理。（工程监督管理科（水旱灾害防御科））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4.其他法律法规规章文件规定应履行的责任。（工程监督管理科（水旱灾害防御科））</w:t>
            </w:r>
          </w:p>
        </w:tc>
        <w:tc>
          <w:tcPr>
            <w:tcW w:w="8460" w:type="dxa"/>
            <w:shd w:val="clear" w:color="auto" w:fill="auto"/>
            <w:tcMar>
              <w:top w:w="10" w:type="dxa"/>
              <w:left w:w="10" w:type="dxa"/>
              <w:right w:w="10" w:type="dxa"/>
            </w:tcMar>
            <w:vAlign w:val="center"/>
          </w:tcPr>
          <w:p w14:paraId="656EFD1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1-1.【法律】《中华人民共和国行政许可法》第三十条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1-2.【法律】《中华人民共和国行政许可法》第三十二条 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2-1.【法律】《中华人民共和国行政许可法》第三十四条 行政机关应当对申请人提交的申请材料进行审查。申请人提交的申请材料齐全、符合法定形式，行政机关能够当场作出决定的，应当当场作出书面的行政许可决定。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2-2.【法律】《中华人民共和国行政许可法》第四十四条 行政机关作出准予行政许可的决定，应当自作出决定之日起十日内向申请人颁发、送达行政许可证件，或者加贴标签、加盖检验、检测、检疫印章。</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2-3.【法律】《中华人民共和国行政许可法》第四十条 行政机关作出的准予行政许可决定，应当予以公开，公众有权查阅。</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3.【法律】《中华人民共和国行政许可法》第六十一条 行政机关应当建立健全监督制度，通过核查反映被许可人从事行政许可事项活动情况的有关材料，履行监督责任。</w:t>
            </w:r>
          </w:p>
        </w:tc>
        <w:tc>
          <w:tcPr>
            <w:tcW w:w="3286" w:type="dxa"/>
            <w:shd w:val="clear" w:color="auto" w:fill="auto"/>
            <w:tcMar>
              <w:top w:w="10" w:type="dxa"/>
              <w:left w:w="10" w:type="dxa"/>
              <w:right w:w="10" w:type="dxa"/>
            </w:tcMar>
            <w:vAlign w:val="center"/>
          </w:tcPr>
          <w:p w14:paraId="52144B3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因不履行或不正确履行行政职责，有下列情形的行政机关及相关工作人员应承担相应的责任：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 对符合法定条件的不予受理的（机关纪委）；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 对不符合有关法律法规的予以审核同意的（机关纪委）；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 未严格审查申报材料，造成纠纷或财产损失的（机关纪委）；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 监管不力或怠于履行职责的（机关纪委）；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 擅自增设、变更项目的审查程序或核准条件的（机关纪委）；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 在行使行政权力中滥用职权、玩忽职守、徇私舞弊，造成较大损失的（机关纪委）；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0B09F17C">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6D01E01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58AD1163">
            <w:pPr>
              <w:jc w:val="center"/>
              <w:rPr>
                <w:rFonts w:hint="default" w:ascii="仿宋_GB2312" w:hAnsi="宋体" w:eastAsia="仿宋_GB2312" w:cs="仿宋_GB2312"/>
                <w:i w:val="0"/>
                <w:iCs w:val="0"/>
                <w:strike w:val="0"/>
                <w:dstrike w:val="0"/>
                <w:color w:val="auto"/>
                <w:sz w:val="21"/>
                <w:szCs w:val="21"/>
                <w:u w:val="none"/>
              </w:rPr>
            </w:pPr>
          </w:p>
        </w:tc>
      </w:tr>
      <w:tr w14:paraId="1FF3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0" w:hRule="atLeast"/>
        </w:trPr>
        <w:tc>
          <w:tcPr>
            <w:tcW w:w="537" w:type="dxa"/>
            <w:shd w:val="clear" w:color="auto" w:fill="auto"/>
            <w:tcMar>
              <w:top w:w="10" w:type="dxa"/>
              <w:left w:w="10" w:type="dxa"/>
              <w:right w:w="10" w:type="dxa"/>
            </w:tcMar>
            <w:vAlign w:val="center"/>
          </w:tcPr>
          <w:p w14:paraId="74BBD573">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184 </w:t>
            </w:r>
          </w:p>
        </w:tc>
        <w:tc>
          <w:tcPr>
            <w:tcW w:w="775" w:type="dxa"/>
            <w:shd w:val="clear" w:color="auto" w:fill="auto"/>
            <w:tcMar>
              <w:top w:w="10" w:type="dxa"/>
              <w:left w:w="10" w:type="dxa"/>
              <w:right w:w="10" w:type="dxa"/>
            </w:tcMar>
            <w:vAlign w:val="center"/>
          </w:tcPr>
          <w:p w14:paraId="36B720AF">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其他行政权力</w:t>
            </w:r>
          </w:p>
        </w:tc>
        <w:tc>
          <w:tcPr>
            <w:tcW w:w="923" w:type="dxa"/>
            <w:shd w:val="clear" w:color="auto" w:fill="auto"/>
            <w:tcMar>
              <w:top w:w="10" w:type="dxa"/>
              <w:left w:w="10" w:type="dxa"/>
              <w:right w:w="10" w:type="dxa"/>
            </w:tcMar>
            <w:vAlign w:val="center"/>
          </w:tcPr>
          <w:p w14:paraId="4D97693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水文水资源调查评价成果审定</w:t>
            </w:r>
          </w:p>
        </w:tc>
        <w:tc>
          <w:tcPr>
            <w:tcW w:w="548" w:type="dxa"/>
            <w:shd w:val="clear" w:color="auto" w:fill="auto"/>
            <w:tcMar>
              <w:top w:w="10" w:type="dxa"/>
              <w:left w:w="10" w:type="dxa"/>
              <w:right w:w="10" w:type="dxa"/>
            </w:tcMar>
            <w:vAlign w:val="center"/>
          </w:tcPr>
          <w:p w14:paraId="1C024A86">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178A469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73EFCB9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1199FA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1.【地方性法规】《广西壮族自治区水文条例》（2007年自治区第十届人民代表大会常务委员会第二十九次会议通过，2024年第二次修正）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第二十三条 水文水资源调查评价成果，应当根据国家有关规定，由县级以上人民政府水行政主管部门或者其委托的水文机构组织审定。</w:t>
            </w:r>
          </w:p>
        </w:tc>
        <w:tc>
          <w:tcPr>
            <w:tcW w:w="4075" w:type="dxa"/>
            <w:shd w:val="clear" w:color="auto" w:fill="auto"/>
            <w:tcMar>
              <w:top w:w="10" w:type="dxa"/>
              <w:left w:w="10" w:type="dxa"/>
              <w:right w:w="10" w:type="dxa"/>
            </w:tcMar>
            <w:vAlign w:val="center"/>
          </w:tcPr>
          <w:p w14:paraId="78C56203">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1.受理责任：公示应当提交的材料，一次性告知补正材料，依法受理或不予受理（不予受理应当告知理由）。（水土保持与水资源科）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2.审查责任：审查申请材料。（水土保持与水资源科）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3.决定责任：作出行政许可或者不予行政许可决定，法定告知（不予许可的应当书面告知理由）。</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4.送达责任：准予许可或不予许可的，均印发审批意见批文，送达并信息公开。（水土保持与水资源科）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5.监管责任：建立实施监督检查的运行机制和管理制度，开展定期和不定期检查，依法采取相关处置措施。（水土保持与水资源科）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6.其他法律法规规章文件规定应履行的责任。（水土保持与水资源科）</w:t>
            </w:r>
          </w:p>
        </w:tc>
        <w:tc>
          <w:tcPr>
            <w:tcW w:w="8460" w:type="dxa"/>
            <w:shd w:val="clear" w:color="auto" w:fill="auto"/>
            <w:tcMar>
              <w:top w:w="10" w:type="dxa"/>
              <w:left w:w="10" w:type="dxa"/>
              <w:right w:w="10" w:type="dxa"/>
            </w:tcMar>
            <w:vAlign w:val="center"/>
          </w:tcPr>
          <w:p w14:paraId="5F0B4AC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第三十条第一款 行政机关应当将法律、法规、规章规定的有关行政许可的事项、依据、条件、数量、程序、期限以及需要提交的全部材料的目录和申请书示范文本等在办公场所公示。</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第三十二条 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行政机关受理或者不予受理行政许可申请，应当出具加盖本行政机关专用印章和注明日期的书面凭证。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第三十四条第一款 行政机关应当对申请人提交的申请材料进行审查。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第三十四条第三款 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第三十五条 依法应当先经下级行政机关审查后报上级行政机关决定的行政许可，下级行政机关应当在法定期限内将初步审查意见和全部申请材料直接报送上级行政机关。上级行政机关不得要求申请人重复提供申请材料。</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第三十六条 行政机关对行政许可申请进行审查时，发现行政许可事项直接关系他人重大利益的，应当告知该利害关系人。申请人、利害关系人有权进行陈述和申辩。行政机关应当听取申请人、利害关系人的意见。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第三十四条第二款 申请人提交的申请材料齐全、符合法定形式，行政机关能够当场作出决定的，应当当场作出书面的行政许可决定。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第三十七条 行政机关对行政许可申请进行审查后，除当场作出行政许可决定的外，应当在法定期限内按照规定程序作出行政许可决定。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第三十八条 申请人的申请符合法定条件、标准的，行政机关应当依法作出准予行政许可的书面决定。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行政机关依法作出不予行政许可的书面决定的，应当说明理由，并告知申请人享有依法申请行政复议或者提起行政诉讼的权利。</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第三十九条第一款 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第四十条 行政机关作出的准予行政许可决定，应当予以公开，公众有权查阅。</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第四十四条 行政机关作出准予行政许可的决定，应当自作出决定之日起十日内向申请人颁发、送达行政许可证件，或者加贴标签、加盖检验、检测、检疫印章。</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5.【法律】《中华人民共和国行政许可法》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第六十一条 行政机关应当建立健全监督制度，通过核查反映被许可人从事行政许可事项活动情况的有关材料，履行监督责任。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行政机关依法对被许可人从事行政许可事项的活动进行监督检查时，应当将监督检查的情况和处理结果予以记录，由监督检查人员签字后归档。公众有权查阅行政机关监督检查记录。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行政机关应当创造条件，实现与被许可人、其他有关行政机关的计算机档案系统互联，核查被许可人从事行政许可事项活动情况。</w:t>
            </w:r>
          </w:p>
        </w:tc>
        <w:tc>
          <w:tcPr>
            <w:tcW w:w="3286" w:type="dxa"/>
            <w:shd w:val="clear" w:color="auto" w:fill="auto"/>
            <w:tcMar>
              <w:top w:w="10" w:type="dxa"/>
              <w:left w:w="10" w:type="dxa"/>
              <w:right w:w="10" w:type="dxa"/>
            </w:tcMar>
            <w:vAlign w:val="center"/>
          </w:tcPr>
          <w:p w14:paraId="6663878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因不履行或不正确履行行政职责，有下列情形的行政机关及相关工作人员应承担相应的责任：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1.对符合法定条件的不予受理的（机关纪委）；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2.对不符合有关法律法规的予以审定的（机关纪委）；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3.未严格审查申请材料，造成纠纷或财产损失的（机关纪委）；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4.监管不力或怠于履行职责的（机关纪委）；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5.在成果审定中滥用职权、玩忽职守、徇私舞弊，造成较大损失的（机关纪委）；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6.除以上追责情形其他违反法律法规规章的行为依法追究相应责任（机关纪委）。</w:t>
            </w:r>
          </w:p>
        </w:tc>
        <w:tc>
          <w:tcPr>
            <w:tcW w:w="7102" w:type="dxa"/>
            <w:shd w:val="clear" w:color="auto" w:fill="auto"/>
            <w:tcMar>
              <w:top w:w="10" w:type="dxa"/>
              <w:left w:w="10" w:type="dxa"/>
              <w:right w:w="10" w:type="dxa"/>
            </w:tcMar>
            <w:vAlign w:val="center"/>
          </w:tcPr>
          <w:p w14:paraId="6E4B73B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二）对符合法定条件的申请人不予行政许可或者不在法定期限内作出准予行政许可决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5-1.【法律】《中华人民共和国公务员法》第一百零四条 公务员主管部门的工作人员，违反本法规定，滥用职权、玩忽职守、徇私舞弊，构成犯罪的，依法追究刑事责任；尚不构成犯罪的，给予处分。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5-2.【部门规章】《水利工程建设项目验收管理规定》第四十四条 国家机关工作人员在验收工作中玩忽职守、滥用职权、徇私舞弊，尚不构成犯罪的，依法给予行政处分；构成犯罪的，依法追究刑事责任。</w:t>
            </w:r>
          </w:p>
        </w:tc>
        <w:tc>
          <w:tcPr>
            <w:tcW w:w="950" w:type="dxa"/>
            <w:shd w:val="clear" w:color="auto" w:fill="auto"/>
            <w:tcMar>
              <w:top w:w="10" w:type="dxa"/>
              <w:left w:w="10" w:type="dxa"/>
              <w:right w:w="10" w:type="dxa"/>
            </w:tcMar>
            <w:vAlign w:val="center"/>
          </w:tcPr>
          <w:p w14:paraId="4108B497">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05518A54">
            <w:pPr>
              <w:jc w:val="center"/>
              <w:rPr>
                <w:rFonts w:hint="default" w:ascii="仿宋_GB2312" w:hAnsi="宋体" w:eastAsia="仿宋_GB2312" w:cs="仿宋_GB2312"/>
                <w:i w:val="0"/>
                <w:iCs w:val="0"/>
                <w:strike w:val="0"/>
                <w:dstrike w:val="0"/>
                <w:color w:val="auto"/>
                <w:sz w:val="21"/>
                <w:szCs w:val="21"/>
                <w:u w:val="none"/>
              </w:rPr>
            </w:pPr>
          </w:p>
        </w:tc>
      </w:tr>
      <w:tr w14:paraId="0D91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5" w:hRule="atLeast"/>
        </w:trPr>
        <w:tc>
          <w:tcPr>
            <w:tcW w:w="537" w:type="dxa"/>
            <w:shd w:val="clear" w:color="auto" w:fill="auto"/>
            <w:tcMar>
              <w:top w:w="10" w:type="dxa"/>
              <w:left w:w="10" w:type="dxa"/>
              <w:right w:w="10" w:type="dxa"/>
            </w:tcMar>
            <w:vAlign w:val="center"/>
          </w:tcPr>
          <w:p w14:paraId="5B2D5D2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185 </w:t>
            </w:r>
          </w:p>
        </w:tc>
        <w:tc>
          <w:tcPr>
            <w:tcW w:w="775" w:type="dxa"/>
            <w:shd w:val="clear" w:color="auto" w:fill="auto"/>
            <w:tcMar>
              <w:top w:w="10" w:type="dxa"/>
              <w:left w:w="10" w:type="dxa"/>
              <w:right w:w="10" w:type="dxa"/>
            </w:tcMar>
            <w:vAlign w:val="center"/>
          </w:tcPr>
          <w:p w14:paraId="763E2462">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其他行政权力</w:t>
            </w:r>
          </w:p>
        </w:tc>
        <w:tc>
          <w:tcPr>
            <w:tcW w:w="923" w:type="dxa"/>
            <w:shd w:val="clear" w:color="auto" w:fill="auto"/>
            <w:tcMar>
              <w:top w:w="10" w:type="dxa"/>
              <w:left w:w="10" w:type="dxa"/>
              <w:right w:w="10" w:type="dxa"/>
            </w:tcMar>
            <w:vAlign w:val="center"/>
          </w:tcPr>
          <w:p w14:paraId="50019F5D">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生产建设项目水土保持设施自主验收备案</w:t>
            </w:r>
          </w:p>
        </w:tc>
        <w:tc>
          <w:tcPr>
            <w:tcW w:w="548" w:type="dxa"/>
            <w:shd w:val="clear" w:color="auto" w:fill="auto"/>
            <w:tcMar>
              <w:top w:w="10" w:type="dxa"/>
              <w:left w:w="10" w:type="dxa"/>
              <w:right w:w="10" w:type="dxa"/>
            </w:tcMar>
            <w:vAlign w:val="center"/>
          </w:tcPr>
          <w:p w14:paraId="781CB9F0">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3045F866">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28B5C29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水土保持与水资源科</w:t>
            </w:r>
          </w:p>
        </w:tc>
        <w:tc>
          <w:tcPr>
            <w:tcW w:w="2789" w:type="dxa"/>
            <w:shd w:val="clear" w:color="auto" w:fill="auto"/>
            <w:tcMar>
              <w:top w:w="10" w:type="dxa"/>
              <w:left w:w="10" w:type="dxa"/>
              <w:right w:w="10" w:type="dxa"/>
            </w:tcMar>
            <w:vAlign w:val="center"/>
          </w:tcPr>
          <w:p w14:paraId="28FF3E7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1.【法律】《中华人民共和国水土保持法》</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第二十七条 依法应当编制水土保持方案的生产建设项目中的水土保持设施，应当与主体工程同时设计、同时施工、同时投产使用；生产建设项目竣工验收，应当验收水土保持设施；水土保持设施未经验收或者验收不合格的，生产建设项目不得投产使用。</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2.【规范性文件】《国务院关于取消一批行政许可事项的决定》（国发〔2017〕46号）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附件1第38条 取消生产建设项目水土保持设施验收审批。</w:t>
            </w:r>
          </w:p>
        </w:tc>
        <w:tc>
          <w:tcPr>
            <w:tcW w:w="4075" w:type="dxa"/>
            <w:shd w:val="clear" w:color="auto" w:fill="auto"/>
            <w:tcMar>
              <w:top w:w="10" w:type="dxa"/>
              <w:left w:w="10" w:type="dxa"/>
              <w:right w:w="10" w:type="dxa"/>
            </w:tcMar>
            <w:vAlign w:val="center"/>
          </w:tcPr>
          <w:p w14:paraId="50F11C4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1.受理责任：公示依法应当提交的材料；一次性告知补正材料；依法受理或不予受理（不予受理应当告知理由）。（水土保持与水资源科）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2.审查责任：材料审核并提出审查意见。（水土保持与水资源科）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3.备案责任：符合条件的，应予以备案登记，并书面告知申请人。对不准予备案的，向申请人出具并送达不予备案书面决定的，并说明理由。（水土保持与水资源科）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4.监管责任：建立生产建设项目水土保持设施自主验收备案清单；加强生产建设项目水土保持设施自主验收备案的监督检查。（水土保持与水资源科）</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5.法律法规规定的其他责任。（水土保持与水资源科）</w:t>
            </w:r>
          </w:p>
        </w:tc>
        <w:tc>
          <w:tcPr>
            <w:tcW w:w="8460" w:type="dxa"/>
            <w:shd w:val="clear" w:color="auto" w:fill="auto"/>
            <w:tcMar>
              <w:top w:w="10" w:type="dxa"/>
              <w:left w:w="10" w:type="dxa"/>
              <w:right w:w="10" w:type="dxa"/>
            </w:tcMar>
            <w:vAlign w:val="center"/>
          </w:tcPr>
          <w:p w14:paraId="20C953A0">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1.【法律】《中华人民共和国行政许可法》第三十二条 行政机关对申请人提出的行政许可申请，应当根据下列情况分别作出处理：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（一）申请事项依法不需要取得行政许可的，应当即时告知申请人不受理；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（二）申请事项依法不属于本行政机关职权范围的，应当即时作出不予受理的决定，并告知申请人向有关行政机关申请；</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（三）申请材料存在可以当场更正的错误的，应当允许申请人当场更正；</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（四）申请材料不齐全或者不符合法定形式的，应当当场或者在五日内一次告知申请人需要补正的全部内容，逾期不告知的，自收到申请材料之日起即为受理；</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2.【法律】《中华人民共和国行政许可法》第三十四条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3.【规范性文件】《生产建设项目水土保持监督管理办法》（办水保〔2019〕172号）第九条 生产建设单位应当在水土保持设施验收通过3个月内，向审批水土保持方案的水行政主管部门或者水土保持方案审批机关的同级水行政主管部门报备水土保持设施验收材料。</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4.【规范性文件】《生产建设项目水土保持监督管理办法》（办水保〔2019〕172号）第十二条 对生产建设项目开展的水土保持监督检查，包括对水土保持方案实施情况的跟踪检查和对水土保持设施自主验收情况的核查。</w:t>
            </w:r>
          </w:p>
        </w:tc>
        <w:tc>
          <w:tcPr>
            <w:tcW w:w="3286" w:type="dxa"/>
            <w:shd w:val="clear" w:color="auto" w:fill="auto"/>
            <w:tcMar>
              <w:top w:w="10" w:type="dxa"/>
              <w:left w:w="10" w:type="dxa"/>
              <w:right w:w="10" w:type="dxa"/>
            </w:tcMar>
            <w:vAlign w:val="center"/>
          </w:tcPr>
          <w:p w14:paraId="2B10AF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lang w:val="en-US"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因不履行或不正确履行行政职责，有下列情形的行政机关及相关工作人员应承担相应的责任：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 对符合法定条件的不予受理的（机关纪委）；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 对不符合有关法律法规的予以审核同意的（机关纪委）；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 未严格审查申报材料，造成纠纷或财产损失的（机关纪委）；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 监管不力或怠于履行职责的（机关纪委）；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 擅自增设、变更项目的审查程序或核准条件的（机关纪委）；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6. 在行使行政权力中滥用职权、玩忽职守、徇私舞弊，造成较大损失的（机关纪委）；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7.除以上追责情形外，其他违反法律法规规章的行为依法追究相应责任（机关纪委）。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39F8BC36">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lang w:val="en-US"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1.【法律】《中华人民共和国行政许可法》第七十四条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3.【法律】《中华人民共和国行政许可法》第七十六条 行政机关违法实施行政许可，给当事人的合法权益造成损害的，应当依照国家赔偿法的规定给予赔偿。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4.【法律】《中华人民共和国行政许可法》第七十七条 行政机关不依法履行监督职责或者监督不力，造成严重后果的，由其上级行政机关或者监察机关责令改正，对直接负责的主管人员和其他直接责任人员依法给予行政处分；构成犯罪的，依法追究刑事责任。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5.【部门规章】《广西壮族自治区行政过错责任追究办法》（2007年4月17日会议审议通过，自2007年6月1日起施行）第九条 行政机关及其工作人员在行政审批过程中，有下列情形之一的，应当责令纠正并追究行政过错责任：（四）不依照法定程序实施行政审批；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6.【法律】《中华人民共和国公务员法》第一百零四条 公务员主管部门的工作人员，违反本法规定，滥用职权、玩忽职守、徇私舞弊，构成犯罪的，依法追究刑事责任；尚不构成犯罪的，给予处分。</w:t>
            </w:r>
          </w:p>
        </w:tc>
        <w:tc>
          <w:tcPr>
            <w:tcW w:w="950" w:type="dxa"/>
            <w:shd w:val="clear" w:color="auto" w:fill="auto"/>
            <w:tcMar>
              <w:top w:w="10" w:type="dxa"/>
              <w:left w:w="10" w:type="dxa"/>
              <w:right w:w="10" w:type="dxa"/>
            </w:tcMar>
            <w:vAlign w:val="center"/>
          </w:tcPr>
          <w:p w14:paraId="69D4CB78">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684B24E6">
            <w:pPr>
              <w:jc w:val="center"/>
              <w:rPr>
                <w:rFonts w:hint="default" w:ascii="仿宋_GB2312" w:hAnsi="宋体" w:eastAsia="仿宋_GB2312" w:cs="仿宋_GB2312"/>
                <w:i w:val="0"/>
                <w:iCs w:val="0"/>
                <w:strike w:val="0"/>
                <w:dstrike w:val="0"/>
                <w:color w:val="auto"/>
                <w:sz w:val="21"/>
                <w:szCs w:val="21"/>
                <w:u w:val="none"/>
              </w:rPr>
            </w:pPr>
          </w:p>
        </w:tc>
      </w:tr>
      <w:tr w14:paraId="2BD2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5" w:hRule="atLeast"/>
        </w:trPr>
        <w:tc>
          <w:tcPr>
            <w:tcW w:w="537" w:type="dxa"/>
            <w:shd w:val="clear" w:color="auto" w:fill="auto"/>
            <w:tcMar>
              <w:top w:w="10" w:type="dxa"/>
              <w:left w:w="10" w:type="dxa"/>
              <w:right w:w="10" w:type="dxa"/>
            </w:tcMar>
            <w:vAlign w:val="center"/>
          </w:tcPr>
          <w:p w14:paraId="3D434A1A">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186 </w:t>
            </w:r>
          </w:p>
        </w:tc>
        <w:tc>
          <w:tcPr>
            <w:tcW w:w="775" w:type="dxa"/>
            <w:shd w:val="clear" w:color="auto" w:fill="auto"/>
            <w:tcMar>
              <w:top w:w="10" w:type="dxa"/>
              <w:left w:w="10" w:type="dxa"/>
              <w:right w:w="10" w:type="dxa"/>
            </w:tcMar>
            <w:vAlign w:val="center"/>
          </w:tcPr>
          <w:p w14:paraId="1DC7475E">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其他行政权力</w:t>
            </w:r>
          </w:p>
        </w:tc>
        <w:tc>
          <w:tcPr>
            <w:tcW w:w="923" w:type="dxa"/>
            <w:shd w:val="clear" w:color="auto" w:fill="auto"/>
            <w:tcMar>
              <w:top w:w="10" w:type="dxa"/>
              <w:left w:w="10" w:type="dxa"/>
              <w:right w:w="10" w:type="dxa"/>
            </w:tcMar>
            <w:vAlign w:val="center"/>
          </w:tcPr>
          <w:p w14:paraId="5D3EF45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水库大坝注册登记</w:t>
            </w:r>
          </w:p>
        </w:tc>
        <w:tc>
          <w:tcPr>
            <w:tcW w:w="548" w:type="dxa"/>
            <w:shd w:val="clear" w:color="auto" w:fill="auto"/>
            <w:tcMar>
              <w:top w:w="10" w:type="dxa"/>
              <w:left w:w="10" w:type="dxa"/>
              <w:right w:w="10" w:type="dxa"/>
            </w:tcMar>
            <w:vAlign w:val="center"/>
          </w:tcPr>
          <w:p w14:paraId="0DD3BF0B">
            <w:pPr>
              <w:jc w:val="center"/>
              <w:rPr>
                <w:rFonts w:hint="default" w:ascii="仿宋_GB2312" w:hAnsi="宋体" w:eastAsia="仿宋_GB2312" w:cs="仿宋_GB2312"/>
                <w:i w:val="0"/>
                <w:iCs w:val="0"/>
                <w:strike w:val="0"/>
                <w:dstrike w:val="0"/>
                <w:color w:val="auto"/>
                <w:sz w:val="21"/>
                <w:szCs w:val="21"/>
                <w:u w:val="none"/>
              </w:rPr>
            </w:pPr>
          </w:p>
        </w:tc>
        <w:tc>
          <w:tcPr>
            <w:tcW w:w="940" w:type="dxa"/>
            <w:shd w:val="clear" w:color="auto" w:fill="auto"/>
            <w:tcMar>
              <w:top w:w="10" w:type="dxa"/>
              <w:left w:w="10" w:type="dxa"/>
              <w:right w:w="10" w:type="dxa"/>
            </w:tcMar>
            <w:vAlign w:val="center"/>
          </w:tcPr>
          <w:p w14:paraId="4DA6DDA4">
            <w:pPr>
              <w:keepNext w:val="0"/>
              <w:keepLines w:val="0"/>
              <w:widowControl/>
              <w:suppressLineNumbers w:val="0"/>
              <w:jc w:val="center"/>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柳州市水利局</w:t>
            </w:r>
          </w:p>
        </w:tc>
        <w:tc>
          <w:tcPr>
            <w:tcW w:w="957" w:type="dxa"/>
            <w:shd w:val="clear" w:color="auto" w:fill="auto"/>
            <w:tcMar>
              <w:top w:w="10" w:type="dxa"/>
              <w:left w:w="10" w:type="dxa"/>
              <w:right w:w="10" w:type="dxa"/>
            </w:tcMar>
            <w:vAlign w:val="center"/>
          </w:tcPr>
          <w:p w14:paraId="5DB86775">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工程监督管理科（水旱灾害防御科）</w:t>
            </w:r>
          </w:p>
        </w:tc>
        <w:tc>
          <w:tcPr>
            <w:tcW w:w="2789" w:type="dxa"/>
            <w:shd w:val="clear" w:color="auto" w:fill="auto"/>
            <w:tcMar>
              <w:top w:w="10" w:type="dxa"/>
              <w:left w:w="10" w:type="dxa"/>
              <w:right w:w="10" w:type="dxa"/>
            </w:tcMar>
            <w:vAlign w:val="center"/>
          </w:tcPr>
          <w:p w14:paraId="587371E4">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1.【行政法规】《水库大坝安全管理条例》（1991年国务院令第77号发布，2018年国务院令第698号修订）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第二十三条 大坝主管部门对其所管辖的大坝应当按期注册登记，建立技术档案。大坝注册登记办法由国务院水行政主管部门会同有关主管部门制定。</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2.【部门规章】《水库大坝注册登记办法》（水利部水管〔1995〕290号发布，1997年修订）</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第三条 县级及以上水库大坝主管部门是注册登记的主管部门。水库大坝注册登记实行分部门分级负责制。</w:t>
            </w:r>
            <w:r>
              <w:rPr>
                <w:rFonts w:hint="default" w:ascii="仿宋_GB2312" w:hAnsi="宋体" w:eastAsia="仿宋_GB2312" w:cs="仿宋_GB2312"/>
                <w:i w:val="0"/>
                <w:iCs w:val="0"/>
                <w:strike w:val="0"/>
                <w:dstrike w:val="0"/>
                <w:color w:val="auto"/>
                <w:sz w:val="21"/>
                <w:szCs w:val="21"/>
                <w:u w:val="none"/>
              </w:rPr>
              <w:br w:type="textWrapping"/>
            </w:r>
            <w:r>
              <w:rPr>
                <w:rFonts w:hint="default" w:ascii="仿宋_GB2312" w:hAnsi="宋体" w:eastAsia="仿宋_GB2312" w:cs="仿宋_GB2312"/>
                <w:i w:val="0"/>
                <w:iCs w:val="0"/>
                <w:strike w:val="0"/>
                <w:dstrike w:val="0"/>
                <w:color w:val="auto"/>
                <w:sz w:val="21"/>
                <w:szCs w:val="21"/>
                <w:u w:val="none"/>
              </w:rPr>
              <w:t>省一级或以上各大坝主管部门负责登记所管辖的库容在1亿立方米以上大型水库大坝和直管的水库大坝；地（市）一级各大坝主管部门负责登记所管辖的库容在1000万至1亿立方米（不含1亿立方米）的中型水库大坝和直管的水库大坝；县一级各大坝主管部门负责登记所管辖的库容在10－1000万立方米（不含1000万立方米）的小型水库大坝。登记结果应进行汇编、建档，并逐级上报。各级水库大坝主管部门可指定机构受理大坝注册登记工作。</w:t>
            </w:r>
          </w:p>
        </w:tc>
        <w:tc>
          <w:tcPr>
            <w:tcW w:w="4075" w:type="dxa"/>
            <w:shd w:val="clear" w:color="auto" w:fill="auto"/>
            <w:tcMar>
              <w:top w:w="10" w:type="dxa"/>
              <w:left w:w="10" w:type="dxa"/>
              <w:right w:w="10" w:type="dxa"/>
            </w:tcMar>
            <w:vAlign w:val="center"/>
          </w:tcPr>
          <w:p w14:paraId="211BF59E">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lang w:val="en-US" w:eastAsia="zh-CN"/>
              </w:rPr>
            </w:pPr>
            <w:r>
              <w:rPr>
                <w:rFonts w:hint="default" w:ascii="仿宋_GB2312" w:hAnsi="宋体" w:eastAsia="仿宋_GB2312" w:cs="仿宋_GB2312"/>
                <w:i w:val="0"/>
                <w:iCs w:val="0"/>
                <w:strike w:val="0"/>
                <w:dstrike w:val="0"/>
                <w:color w:val="auto"/>
                <w:sz w:val="21"/>
                <w:szCs w:val="21"/>
                <w:u w:val="none"/>
                <w:lang w:val="en-US" w:eastAsia="zh-CN"/>
              </w:rPr>
              <w:t>1.受理环节责任：</w:t>
            </w:r>
            <w:r>
              <w:rPr>
                <w:rFonts w:hint="eastAsia" w:ascii="仿宋_GB2312" w:hAnsi="宋体" w:eastAsia="仿宋_GB2312" w:cs="仿宋_GB2312"/>
                <w:i w:val="0"/>
                <w:iCs w:val="0"/>
                <w:strike w:val="0"/>
                <w:dstrike w:val="0"/>
                <w:color w:val="auto"/>
                <w:sz w:val="21"/>
                <w:szCs w:val="21"/>
                <w:u w:val="none"/>
                <w:lang w:val="en-US" w:eastAsia="zh-CN"/>
              </w:rPr>
              <w:t>公示依法应当提交的材料；一次性告知补正材料；依法受理或不予受理（不予受理应当告知理由）。</w:t>
            </w:r>
            <w:r>
              <w:rPr>
                <w:rFonts w:hint="default" w:ascii="仿宋_GB2312" w:hAnsi="宋体" w:eastAsia="仿宋_GB2312" w:cs="仿宋_GB2312"/>
                <w:i w:val="0"/>
                <w:iCs w:val="0"/>
                <w:strike w:val="0"/>
                <w:dstrike w:val="0"/>
                <w:color w:val="auto"/>
                <w:sz w:val="21"/>
                <w:szCs w:val="21"/>
                <w:u w:val="none"/>
                <w:lang w:val="en-US" w:eastAsia="zh-CN"/>
              </w:rPr>
              <w:t>（工程监督管理科（水旱灾害防御科））</w:t>
            </w:r>
            <w:r>
              <w:rPr>
                <w:rFonts w:hint="default" w:ascii="仿宋_GB2312" w:hAnsi="宋体" w:eastAsia="仿宋_GB2312" w:cs="仿宋_GB2312"/>
                <w:i w:val="0"/>
                <w:iCs w:val="0"/>
                <w:strike w:val="0"/>
                <w:dstrike w:val="0"/>
                <w:color w:val="auto"/>
                <w:sz w:val="21"/>
                <w:szCs w:val="21"/>
                <w:u w:val="none"/>
                <w:lang w:val="en-US" w:eastAsia="zh-CN"/>
              </w:rPr>
              <w:br w:type="textWrapping"/>
            </w:r>
            <w:r>
              <w:rPr>
                <w:rFonts w:hint="default" w:ascii="仿宋_GB2312" w:hAnsi="宋体" w:eastAsia="仿宋_GB2312" w:cs="仿宋_GB2312"/>
                <w:i w:val="0"/>
                <w:iCs w:val="0"/>
                <w:strike w:val="0"/>
                <w:dstrike w:val="0"/>
                <w:color w:val="auto"/>
                <w:sz w:val="21"/>
                <w:szCs w:val="21"/>
                <w:u w:val="none"/>
                <w:lang w:val="en-US" w:eastAsia="zh-CN"/>
              </w:rPr>
              <w:t>2.审查和决定阶段责任：</w:t>
            </w:r>
            <w:r>
              <w:rPr>
                <w:rFonts w:hint="eastAsia" w:ascii="仿宋_GB2312" w:hAnsi="宋体" w:eastAsia="仿宋_GB2312" w:cs="仿宋_GB2312"/>
                <w:i w:val="0"/>
                <w:iCs w:val="0"/>
                <w:strike w:val="0"/>
                <w:dstrike w:val="0"/>
                <w:color w:val="auto"/>
                <w:sz w:val="21"/>
                <w:szCs w:val="21"/>
                <w:u w:val="none"/>
                <w:lang w:val="en-US" w:eastAsia="zh-CN"/>
              </w:rPr>
              <w:t>审查核实申报材料。</w:t>
            </w:r>
            <w:r>
              <w:rPr>
                <w:rFonts w:hint="default" w:ascii="仿宋_GB2312" w:hAnsi="宋体" w:eastAsia="仿宋_GB2312" w:cs="仿宋_GB2312"/>
                <w:i w:val="0"/>
                <w:iCs w:val="0"/>
                <w:strike w:val="0"/>
                <w:dstrike w:val="0"/>
                <w:color w:val="auto"/>
                <w:sz w:val="21"/>
                <w:szCs w:val="21"/>
                <w:u w:val="none"/>
                <w:lang w:val="en-US" w:eastAsia="zh-CN"/>
              </w:rPr>
              <w:t>（工程监督管理科（水旱灾害防御科））</w:t>
            </w:r>
            <w:r>
              <w:rPr>
                <w:rFonts w:hint="default"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3.决定责任：作出予以注册登记或者不予注册登记的决定，法定告知（不予注册登记的应当书面告知理由）；按时办结。</w:t>
            </w:r>
            <w:r>
              <w:rPr>
                <w:rFonts w:hint="default" w:ascii="仿宋_GB2312" w:hAnsi="宋体" w:eastAsia="仿宋_GB2312" w:cs="仿宋_GB2312"/>
                <w:i w:val="0"/>
                <w:iCs w:val="0"/>
                <w:strike w:val="0"/>
                <w:dstrike w:val="0"/>
                <w:color w:val="auto"/>
                <w:sz w:val="21"/>
                <w:szCs w:val="21"/>
                <w:u w:val="none"/>
                <w:lang w:val="en-US" w:eastAsia="zh-CN"/>
              </w:rPr>
              <w:t>（工程监督管理科（水旱灾害防御科））</w:t>
            </w:r>
            <w:r>
              <w:rPr>
                <w:rFonts w:hint="eastAsia" w:ascii="仿宋_GB2312" w:hAnsi="宋体" w:eastAsia="仿宋_GB2312" w:cs="仿宋_GB2312"/>
                <w:i w:val="0"/>
                <w:iCs w:val="0"/>
                <w:strike w:val="0"/>
                <w:dstrike w:val="0"/>
                <w:color w:val="auto"/>
                <w:sz w:val="21"/>
                <w:szCs w:val="21"/>
                <w:u w:val="none"/>
                <w:lang w:val="en-US" w:eastAsia="zh-CN"/>
              </w:rPr>
              <w:t xml:space="preserve">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4.送达责任：准予注册登记的，制发并送达注册登记证。</w:t>
            </w:r>
            <w:r>
              <w:rPr>
                <w:rFonts w:hint="default" w:ascii="仿宋_GB2312" w:hAnsi="宋体" w:eastAsia="仿宋_GB2312" w:cs="仿宋_GB2312"/>
                <w:i w:val="0"/>
                <w:iCs w:val="0"/>
                <w:strike w:val="0"/>
                <w:dstrike w:val="0"/>
                <w:color w:val="auto"/>
                <w:sz w:val="21"/>
                <w:szCs w:val="21"/>
                <w:u w:val="none"/>
                <w:lang w:val="en-US" w:eastAsia="zh-CN"/>
              </w:rPr>
              <w:t>（工程监督管理科（水旱灾害防御科））</w:t>
            </w:r>
            <w:r>
              <w:rPr>
                <w:rFonts w:hint="eastAsia" w:ascii="仿宋_GB2312" w:hAnsi="宋体" w:eastAsia="仿宋_GB2312" w:cs="仿宋_GB2312"/>
                <w:i w:val="0"/>
                <w:iCs w:val="0"/>
                <w:strike w:val="0"/>
                <w:dstrike w:val="0"/>
                <w:color w:val="auto"/>
                <w:sz w:val="21"/>
                <w:szCs w:val="21"/>
                <w:u w:val="none"/>
                <w:lang w:val="en-US" w:eastAsia="zh-CN"/>
              </w:rPr>
              <w:t xml:space="preserve">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5.监管责任：建立审批台账；加强监督检查。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6.其他法律法规规章文件规定应履行的责任。</w:t>
            </w:r>
            <w:r>
              <w:rPr>
                <w:rFonts w:hint="default" w:ascii="仿宋_GB2312" w:hAnsi="宋体" w:eastAsia="仿宋_GB2312" w:cs="仿宋_GB2312"/>
                <w:i w:val="0"/>
                <w:iCs w:val="0"/>
                <w:strike w:val="0"/>
                <w:dstrike w:val="0"/>
                <w:color w:val="auto"/>
                <w:sz w:val="21"/>
                <w:szCs w:val="21"/>
                <w:u w:val="none"/>
                <w:lang w:val="en-US" w:eastAsia="zh-CN"/>
              </w:rPr>
              <w:t>（工程监督管理科（水旱灾害防御科））</w:t>
            </w:r>
          </w:p>
        </w:tc>
        <w:tc>
          <w:tcPr>
            <w:tcW w:w="8460" w:type="dxa"/>
            <w:shd w:val="clear" w:color="auto" w:fill="auto"/>
            <w:tcMar>
              <w:top w:w="10" w:type="dxa"/>
              <w:left w:w="10" w:type="dxa"/>
              <w:right w:w="10" w:type="dxa"/>
            </w:tcMar>
            <w:vAlign w:val="center"/>
          </w:tcPr>
          <w:p w14:paraId="7E82DD7A">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lang w:val="en-US" w:eastAsia="zh-CN"/>
              </w:rPr>
            </w:pPr>
            <w:r>
              <w:rPr>
                <w:rFonts w:hint="eastAsia" w:ascii="仿宋_GB2312" w:hAnsi="宋体" w:eastAsia="仿宋_GB2312" w:cs="仿宋_GB2312"/>
                <w:i w:val="0"/>
                <w:iCs w:val="0"/>
                <w:strike w:val="0"/>
                <w:dstrike w:val="0"/>
                <w:color w:val="auto"/>
                <w:sz w:val="21"/>
                <w:szCs w:val="21"/>
                <w:u w:val="none"/>
                <w:lang w:val="en-US" w:eastAsia="zh-CN"/>
              </w:rPr>
              <w:t xml:space="preserve">1.【部门规章】《水库大坝注册登记办法》（1995年发布，19 97年修改）第五条  凡符合本办法第二条规定已建成运行的大坝管理单位，应到指定的注册登记机构申报登记。没有专管机构的大坝，由乡镇水利站申报登记。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大坝注册登记需履行下列程序：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一）申报：已建成运行的大坝管理单位应携带大坝主要技术经济指标资料和申请书，按第三条的规定向大坝主管部门或指定的注册登记机构申报登记。注册登记受理机构认可后，即应发给相应的登记表，由大坝管理单位认真填写，经所管辖水库大坝的主管部门审查后上报。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（二）审核：注册登记机构收到大坝管理单位填报的登记表后，即应进行审查核实。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（三）发证：经审查核实，注册登记受理机构应向大坝管理单位发给注册登记证。注册登记证要注明大坝安全类别，属险坝者，应限期进行安全加固，并规定限制运行的指标。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 2.同1。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 3.同1。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 4.同1。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 5.同1。</w:t>
            </w:r>
          </w:p>
        </w:tc>
        <w:tc>
          <w:tcPr>
            <w:tcW w:w="3286" w:type="dxa"/>
            <w:shd w:val="clear" w:color="auto" w:fill="auto"/>
            <w:tcMar>
              <w:top w:w="10" w:type="dxa"/>
              <w:left w:w="10" w:type="dxa"/>
              <w:right w:w="10" w:type="dxa"/>
            </w:tcMar>
            <w:vAlign w:val="center"/>
          </w:tcPr>
          <w:p w14:paraId="5864C061">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仿宋_GB2312" w:hAnsi="宋体" w:eastAsia="仿宋_GB2312" w:cs="仿宋_GB2312"/>
                <w:i w:val="0"/>
                <w:iCs w:val="0"/>
                <w:strike w:val="0"/>
                <w:dstrike w:val="0"/>
                <w:color w:val="auto"/>
                <w:sz w:val="21"/>
                <w:szCs w:val="21"/>
                <w:u w:val="none"/>
                <w:lang w:val="en-US" w:eastAsia="zh-CN"/>
              </w:rPr>
              <w:t xml:space="preserve">因不履行或不正确履行行政职责，有下列情形的，行政机关及相关工作人员应承担相应的责任：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1.在审核过程中玩忽职守、徇私舞弊的（机关纪委）；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 xml:space="preserve">2.在审核过程中滥用职权，谋取不正当利益和发生腐败行为的（机关纪委）； </w:t>
            </w:r>
            <w:r>
              <w:rPr>
                <w:rFonts w:hint="eastAsia" w:ascii="仿宋_GB2312" w:hAnsi="宋体" w:eastAsia="仿宋_GB2312" w:cs="仿宋_GB2312"/>
                <w:i w:val="0"/>
                <w:iCs w:val="0"/>
                <w:strike w:val="0"/>
                <w:dstrike w:val="0"/>
                <w:color w:val="auto"/>
                <w:sz w:val="21"/>
                <w:szCs w:val="21"/>
                <w:u w:val="none"/>
                <w:lang w:val="en-US" w:eastAsia="zh-CN"/>
              </w:rPr>
              <w:br w:type="textWrapping"/>
            </w:r>
            <w:r>
              <w:rPr>
                <w:rFonts w:hint="eastAsia" w:ascii="仿宋_GB2312" w:hAnsi="宋体" w:eastAsia="仿宋_GB2312" w:cs="仿宋_GB2312"/>
                <w:i w:val="0"/>
                <w:iCs w:val="0"/>
                <w:strike w:val="0"/>
                <w:dstrike w:val="0"/>
                <w:color w:val="auto"/>
                <w:sz w:val="21"/>
                <w:szCs w:val="21"/>
                <w:u w:val="none"/>
                <w:lang w:val="en-US" w:eastAsia="zh-CN"/>
              </w:rPr>
              <w:t>3.除以上追责情形外，其他违反法律法规规章的行为依法追究相应责任（机关纪委）。</w:t>
            </w:r>
          </w:p>
        </w:tc>
        <w:tc>
          <w:tcPr>
            <w:tcW w:w="7102" w:type="dxa"/>
            <w:shd w:val="clear" w:color="auto" w:fill="auto"/>
            <w:tcMar>
              <w:top w:w="10" w:type="dxa"/>
              <w:left w:w="10" w:type="dxa"/>
              <w:right w:w="10" w:type="dxa"/>
            </w:tcMar>
            <w:vAlign w:val="center"/>
          </w:tcPr>
          <w:p w14:paraId="29663A82">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eastAsia" w:ascii="宋体" w:hAnsi="宋体" w:eastAsia="宋体" w:cs="宋体"/>
                <w:b w:val="0"/>
                <w:bCs/>
                <w:i w:val="0"/>
                <w:color w:val="auto"/>
                <w:kern w:val="0"/>
                <w:sz w:val="15"/>
                <w:szCs w:val="15"/>
                <w:u w:val="none"/>
                <w:lang w:val="en-US" w:eastAsia="zh-CN" w:bidi="ar"/>
              </w:rPr>
              <w:t xml:space="preserve"> </w:t>
            </w:r>
            <w:r>
              <w:rPr>
                <w:rFonts w:hint="eastAsia" w:ascii="仿宋_GB2312" w:hAnsi="宋体" w:eastAsia="仿宋_GB2312" w:cs="仿宋_GB2312"/>
                <w:i w:val="0"/>
                <w:iCs w:val="0"/>
                <w:strike w:val="0"/>
                <w:dstrike w:val="0"/>
                <w:color w:val="auto"/>
                <w:sz w:val="21"/>
                <w:szCs w:val="21"/>
                <w:u w:val="none"/>
                <w:lang w:val="en-US" w:eastAsia="zh-CN"/>
              </w:rPr>
              <w:t>1.</w:t>
            </w:r>
            <w:r>
              <w:rPr>
                <w:rFonts w:hint="default" w:ascii="仿宋_GB2312" w:hAnsi="宋体" w:eastAsia="仿宋_GB2312" w:cs="仿宋_GB2312"/>
                <w:i w:val="0"/>
                <w:iCs w:val="0"/>
                <w:strike w:val="0"/>
                <w:dstrike w:val="0"/>
                <w:color w:val="auto"/>
                <w:sz w:val="21"/>
                <w:szCs w:val="21"/>
                <w:u w:val="none"/>
                <w:lang w:val="en-US" w:eastAsia="zh-CN"/>
              </w:rPr>
              <w:t>【法律】《中华人民共和国公职人员政务处分法》第三十九条　有下列行为之一，造成不良后果或者影响的，予以警告、记过或者记大过；情节较重的，予以降级或者撤职；情节严重的，予以开除：（二）不履行或者不正确履行职责，玩忽职守，贻误工作的；</w:t>
            </w:r>
            <w:r>
              <w:rPr>
                <w:rFonts w:hint="default" w:ascii="仿宋_GB2312" w:hAnsi="宋体" w:eastAsia="仿宋_GB2312" w:cs="仿宋_GB2312"/>
                <w:i w:val="0"/>
                <w:iCs w:val="0"/>
                <w:strike w:val="0"/>
                <w:dstrike w:val="0"/>
                <w:color w:val="auto"/>
                <w:sz w:val="21"/>
                <w:szCs w:val="21"/>
                <w:u w:val="none"/>
                <w:lang w:val="en-US" w:eastAsia="zh-CN"/>
              </w:rPr>
              <w:br w:type="textWrapping"/>
            </w:r>
            <w:r>
              <w:rPr>
                <w:rFonts w:hint="default" w:ascii="仿宋_GB2312" w:hAnsi="宋体" w:eastAsia="仿宋_GB2312" w:cs="仿宋_GB2312"/>
                <w:i w:val="0"/>
                <w:iCs w:val="0"/>
                <w:strike w:val="0"/>
                <w:dstrike w:val="0"/>
                <w:color w:val="auto"/>
                <w:sz w:val="21"/>
                <w:szCs w:val="21"/>
                <w:u w:val="none"/>
                <w:lang w:val="en-US" w:eastAsia="zh-CN"/>
              </w:rPr>
              <w:t>2-1.【法律】《中华人民共和国公职人员政务处分法》第三十三条 有下列行为之一的，予以警告、记过或者记大过；情节较重的，予以降级或者撤职；情节严重的，予以开除：（一）贪污贿赂的；（二）利用职权或者职务上的影响为本人或者他人谋取私利的；（三）纵容、默许特定关系人利用本人职权或者职务上的影响谋取私利的。</w:t>
            </w:r>
            <w:r>
              <w:rPr>
                <w:rFonts w:hint="default" w:ascii="仿宋_GB2312" w:hAnsi="宋体" w:eastAsia="仿宋_GB2312" w:cs="仿宋_GB2312"/>
                <w:i w:val="0"/>
                <w:iCs w:val="0"/>
                <w:strike w:val="0"/>
                <w:dstrike w:val="0"/>
                <w:color w:val="auto"/>
                <w:sz w:val="21"/>
                <w:szCs w:val="21"/>
                <w:u w:val="none"/>
                <w:lang w:val="en-US" w:eastAsia="zh-CN"/>
              </w:rPr>
              <w:br w:type="textWrapping"/>
            </w:r>
            <w:r>
              <w:rPr>
                <w:rFonts w:hint="default" w:ascii="仿宋_GB2312" w:hAnsi="宋体" w:eastAsia="仿宋_GB2312" w:cs="仿宋_GB2312"/>
                <w:i w:val="0"/>
                <w:iCs w:val="0"/>
                <w:strike w:val="0"/>
                <w:dstrike w:val="0"/>
                <w:color w:val="auto"/>
                <w:sz w:val="21"/>
                <w:szCs w:val="21"/>
                <w:u w:val="none"/>
                <w:lang w:val="en-US" w:eastAsia="zh-CN"/>
              </w:rPr>
              <w:t>拒不按照规定纠正特定关系人违规任职、兼职或者从事经营活动，且不服从职务调整的，予以撤职。</w:t>
            </w:r>
            <w:r>
              <w:rPr>
                <w:rFonts w:hint="default" w:ascii="仿宋_GB2312" w:hAnsi="宋体" w:eastAsia="仿宋_GB2312" w:cs="仿宋_GB2312"/>
                <w:i w:val="0"/>
                <w:iCs w:val="0"/>
                <w:strike w:val="0"/>
                <w:dstrike w:val="0"/>
                <w:color w:val="auto"/>
                <w:sz w:val="21"/>
                <w:szCs w:val="21"/>
                <w:u w:val="none"/>
                <w:lang w:val="en-US" w:eastAsia="zh-CN"/>
              </w:rPr>
              <w:br w:type="textWrapping"/>
            </w:r>
            <w:r>
              <w:rPr>
                <w:rFonts w:hint="default" w:ascii="仿宋_GB2312" w:hAnsi="宋体" w:eastAsia="仿宋_GB2312" w:cs="仿宋_GB2312"/>
                <w:i w:val="0"/>
                <w:iCs w:val="0"/>
                <w:strike w:val="0"/>
                <w:dstrike w:val="0"/>
                <w:color w:val="auto"/>
                <w:sz w:val="21"/>
                <w:szCs w:val="21"/>
                <w:u w:val="none"/>
                <w:lang w:val="en-US" w:eastAsia="zh-CN"/>
              </w:rPr>
              <w:t>第三十四条第一款 收受可能影响公正行使公权力的礼品、礼金、有价证券等财物的，予以警告、记过或者记大过；情节较重的，予以降级或者撤职；情节严重的，予以开除。</w:t>
            </w:r>
            <w:r>
              <w:rPr>
                <w:rFonts w:hint="default" w:ascii="仿宋_GB2312" w:hAnsi="宋体" w:eastAsia="仿宋_GB2312" w:cs="仿宋_GB2312"/>
                <w:i w:val="0"/>
                <w:iCs w:val="0"/>
                <w:strike w:val="0"/>
                <w:dstrike w:val="0"/>
                <w:color w:val="auto"/>
                <w:sz w:val="21"/>
                <w:szCs w:val="21"/>
                <w:u w:val="none"/>
                <w:lang w:val="en-US" w:eastAsia="zh-CN"/>
              </w:rPr>
              <w:br w:type="textWrapping"/>
            </w:r>
            <w:r>
              <w:rPr>
                <w:rFonts w:hint="default" w:ascii="仿宋_GB2312" w:hAnsi="宋体" w:eastAsia="仿宋_GB2312" w:cs="仿宋_GB2312"/>
                <w:i w:val="0"/>
                <w:iCs w:val="0"/>
                <w:strike w:val="0"/>
                <w:dstrike w:val="0"/>
                <w:color w:val="auto"/>
                <w:sz w:val="21"/>
                <w:szCs w:val="21"/>
                <w:u w:val="none"/>
                <w:lang w:val="en-US" w:eastAsia="zh-CN"/>
              </w:rPr>
              <w:t xml:space="preserve">2-2.【地方性法规】《广西壮族自治区水利工程管理条例》(2016年修正）第三十二条 水行政主管部门、水利工程管理单位及其工作人员违反本条例规定,有下列情形之一的,由监察机关或者上级主管部门责令改正;情节严重的,对直接负责的主管人员和其他直接责任人员依法给予处分: (五)其他玩忽职守、滥用职权、徇私舞弊或者不履行管理职责的行为。有前款违法行为,构成犯罪的,依法追究刑事责任。 </w:t>
            </w:r>
          </w:p>
        </w:tc>
        <w:tc>
          <w:tcPr>
            <w:tcW w:w="950" w:type="dxa"/>
            <w:shd w:val="clear" w:color="auto" w:fill="auto"/>
            <w:tcMar>
              <w:top w:w="10" w:type="dxa"/>
              <w:left w:w="10" w:type="dxa"/>
              <w:right w:w="10" w:type="dxa"/>
            </w:tcMar>
            <w:vAlign w:val="center"/>
          </w:tcPr>
          <w:p w14:paraId="514E75EB">
            <w:pPr>
              <w:keepNext w:val="0"/>
              <w:keepLines w:val="0"/>
              <w:widowControl/>
              <w:suppressLineNumbers w:val="0"/>
              <w:jc w:val="left"/>
              <w:textAlignment w:val="center"/>
              <w:rPr>
                <w:rFonts w:hint="default" w:ascii="仿宋_GB2312" w:hAnsi="宋体" w:eastAsia="仿宋_GB2312" w:cs="仿宋_GB2312"/>
                <w:i w:val="0"/>
                <w:iCs w:val="0"/>
                <w:strike w:val="0"/>
                <w:dstrike w:val="0"/>
                <w:color w:val="auto"/>
                <w:sz w:val="21"/>
                <w:szCs w:val="21"/>
                <w:u w:val="none"/>
              </w:rPr>
            </w:pPr>
            <w:r>
              <w:rPr>
                <w:rFonts w:hint="default" w:ascii="仿宋_GB2312" w:hAnsi="宋体" w:eastAsia="仿宋_GB2312" w:cs="仿宋_GB2312"/>
                <w:i w:val="0"/>
                <w:iCs w:val="0"/>
                <w:strike w:val="0"/>
                <w:dstrike w:val="0"/>
                <w:color w:val="auto"/>
                <w:sz w:val="21"/>
                <w:szCs w:val="21"/>
                <w:u w:val="none"/>
              </w:rPr>
              <w:t>法律法规规定的免责情形及市委、市人民政府有关文件中明确的免责情形。</w:t>
            </w:r>
          </w:p>
        </w:tc>
        <w:tc>
          <w:tcPr>
            <w:tcW w:w="500" w:type="dxa"/>
            <w:shd w:val="clear" w:color="auto" w:fill="auto"/>
            <w:tcMar>
              <w:top w:w="10" w:type="dxa"/>
              <w:left w:w="10" w:type="dxa"/>
              <w:right w:w="10" w:type="dxa"/>
            </w:tcMar>
            <w:vAlign w:val="center"/>
          </w:tcPr>
          <w:p w14:paraId="3B9B178D">
            <w:pPr>
              <w:rPr>
                <w:rFonts w:hint="eastAsia" w:ascii="宋体" w:hAnsi="宋体" w:eastAsia="宋体" w:cs="宋体"/>
                <w:i w:val="0"/>
                <w:iCs w:val="0"/>
                <w:strike w:val="0"/>
                <w:dstrike w:val="0"/>
                <w:color w:val="auto"/>
                <w:sz w:val="22"/>
                <w:szCs w:val="22"/>
                <w:u w:val="none"/>
              </w:rPr>
            </w:pPr>
          </w:p>
        </w:tc>
      </w:tr>
      <w:tr w14:paraId="668C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hidden/>
        </w:trPr>
        <w:tc>
          <w:tcPr>
            <w:tcW w:w="349" w:type="dxa"/>
            <w:shd w:val="clear" w:color="auto" w:fill="auto"/>
            <w:noWrap/>
            <w:tcMar>
              <w:top w:w="10" w:type="dxa"/>
              <w:left w:w="10" w:type="dxa"/>
              <w:right w:w="10" w:type="dxa"/>
            </w:tcMar>
            <w:vAlign w:val="center"/>
          </w:tcPr>
          <w:p w14:paraId="16830452">
            <w:pPr>
              <w:rPr>
                <w:rFonts w:hint="eastAsia" w:ascii="宋体" w:hAnsi="宋体" w:eastAsia="宋体" w:cs="宋体"/>
                <w:i w:val="0"/>
                <w:iCs w:val="0"/>
                <w:strike w:val="0"/>
                <w:dstrike w:val="0"/>
                <w:vanish/>
                <w:color w:val="auto"/>
                <w:sz w:val="22"/>
                <w:szCs w:val="22"/>
                <w:u w:val="none"/>
              </w:rPr>
            </w:pPr>
          </w:p>
        </w:tc>
        <w:tc>
          <w:tcPr>
            <w:tcW w:w="787" w:type="dxa"/>
            <w:shd w:val="clear" w:color="auto" w:fill="auto"/>
            <w:noWrap/>
            <w:tcMar>
              <w:top w:w="10" w:type="dxa"/>
              <w:left w:w="10" w:type="dxa"/>
              <w:right w:w="10" w:type="dxa"/>
            </w:tcMar>
            <w:vAlign w:val="center"/>
          </w:tcPr>
          <w:p w14:paraId="6526D3AA">
            <w:pPr>
              <w:rPr>
                <w:rFonts w:hint="eastAsia" w:ascii="宋体" w:hAnsi="宋体" w:eastAsia="宋体" w:cs="宋体"/>
                <w:i w:val="0"/>
                <w:iCs w:val="0"/>
                <w:strike w:val="0"/>
                <w:dstrike w:val="0"/>
                <w:vanish/>
                <w:color w:val="auto"/>
                <w:sz w:val="22"/>
                <w:szCs w:val="22"/>
                <w:u w:val="none"/>
              </w:rPr>
            </w:pPr>
          </w:p>
        </w:tc>
        <w:tc>
          <w:tcPr>
            <w:tcW w:w="937" w:type="dxa"/>
            <w:shd w:val="clear" w:color="auto" w:fill="auto"/>
            <w:noWrap/>
            <w:tcMar>
              <w:top w:w="10" w:type="dxa"/>
              <w:left w:w="10" w:type="dxa"/>
              <w:right w:w="10" w:type="dxa"/>
            </w:tcMar>
            <w:vAlign w:val="center"/>
          </w:tcPr>
          <w:p w14:paraId="4F831ECB">
            <w:pPr>
              <w:rPr>
                <w:rFonts w:hint="eastAsia" w:ascii="宋体" w:hAnsi="宋体" w:eastAsia="宋体" w:cs="宋体"/>
                <w:i w:val="0"/>
                <w:iCs w:val="0"/>
                <w:strike w:val="0"/>
                <w:dstrike w:val="0"/>
                <w:vanish/>
                <w:color w:val="auto"/>
                <w:sz w:val="22"/>
                <w:szCs w:val="22"/>
                <w:u w:val="none"/>
              </w:rPr>
            </w:pPr>
          </w:p>
        </w:tc>
        <w:tc>
          <w:tcPr>
            <w:tcW w:w="556" w:type="dxa"/>
            <w:shd w:val="clear" w:color="auto" w:fill="auto"/>
            <w:noWrap/>
            <w:tcMar>
              <w:top w:w="10" w:type="dxa"/>
              <w:left w:w="10" w:type="dxa"/>
              <w:right w:w="10" w:type="dxa"/>
            </w:tcMar>
            <w:vAlign w:val="center"/>
          </w:tcPr>
          <w:p w14:paraId="44B832D6">
            <w:pPr>
              <w:rPr>
                <w:rFonts w:hint="eastAsia" w:ascii="宋体" w:hAnsi="宋体" w:eastAsia="宋体" w:cs="宋体"/>
                <w:i w:val="0"/>
                <w:iCs w:val="0"/>
                <w:strike w:val="0"/>
                <w:dstrike w:val="0"/>
                <w:vanish/>
                <w:color w:val="auto"/>
                <w:sz w:val="22"/>
                <w:szCs w:val="22"/>
                <w:u w:val="none"/>
              </w:rPr>
            </w:pPr>
          </w:p>
        </w:tc>
        <w:tc>
          <w:tcPr>
            <w:tcW w:w="955" w:type="dxa"/>
            <w:shd w:val="clear" w:color="auto" w:fill="auto"/>
            <w:noWrap/>
            <w:tcMar>
              <w:top w:w="10" w:type="dxa"/>
              <w:left w:w="10" w:type="dxa"/>
              <w:right w:w="10" w:type="dxa"/>
            </w:tcMar>
            <w:vAlign w:val="center"/>
          </w:tcPr>
          <w:p w14:paraId="6DC17816">
            <w:pPr>
              <w:rPr>
                <w:rFonts w:hint="eastAsia" w:ascii="宋体" w:hAnsi="宋体" w:eastAsia="宋体" w:cs="宋体"/>
                <w:i w:val="0"/>
                <w:iCs w:val="0"/>
                <w:strike w:val="0"/>
                <w:dstrike w:val="0"/>
                <w:vanish/>
                <w:color w:val="auto"/>
                <w:sz w:val="22"/>
                <w:szCs w:val="22"/>
                <w:u w:val="none"/>
              </w:rPr>
            </w:pPr>
          </w:p>
        </w:tc>
        <w:tc>
          <w:tcPr>
            <w:tcW w:w="972" w:type="dxa"/>
            <w:shd w:val="clear" w:color="auto" w:fill="auto"/>
            <w:noWrap/>
            <w:tcMar>
              <w:top w:w="10" w:type="dxa"/>
              <w:left w:w="10" w:type="dxa"/>
              <w:right w:w="10" w:type="dxa"/>
            </w:tcMar>
            <w:vAlign w:val="center"/>
          </w:tcPr>
          <w:p w14:paraId="2D898248">
            <w:pPr>
              <w:rPr>
                <w:rFonts w:hint="eastAsia" w:ascii="宋体" w:hAnsi="宋体" w:eastAsia="宋体" w:cs="宋体"/>
                <w:i w:val="0"/>
                <w:iCs w:val="0"/>
                <w:strike w:val="0"/>
                <w:dstrike w:val="0"/>
                <w:vanish/>
                <w:color w:val="auto"/>
                <w:sz w:val="22"/>
                <w:szCs w:val="22"/>
                <w:u w:val="none"/>
              </w:rPr>
            </w:pPr>
          </w:p>
        </w:tc>
        <w:tc>
          <w:tcPr>
            <w:tcW w:w="2833" w:type="dxa"/>
            <w:shd w:val="clear" w:color="auto" w:fill="auto"/>
            <w:noWrap/>
            <w:tcMar>
              <w:top w:w="10" w:type="dxa"/>
              <w:left w:w="10" w:type="dxa"/>
              <w:right w:w="10" w:type="dxa"/>
            </w:tcMar>
            <w:vAlign w:val="center"/>
          </w:tcPr>
          <w:p w14:paraId="4483244A">
            <w:pPr>
              <w:rPr>
                <w:rFonts w:hint="eastAsia" w:ascii="宋体" w:hAnsi="宋体" w:eastAsia="宋体" w:cs="宋体"/>
                <w:i w:val="0"/>
                <w:iCs w:val="0"/>
                <w:strike w:val="0"/>
                <w:dstrike w:val="0"/>
                <w:vanish/>
                <w:color w:val="auto"/>
                <w:sz w:val="22"/>
                <w:szCs w:val="22"/>
                <w:u w:val="none"/>
              </w:rPr>
            </w:pPr>
          </w:p>
        </w:tc>
        <w:tc>
          <w:tcPr>
            <w:tcW w:w="4140" w:type="dxa"/>
            <w:shd w:val="clear" w:color="auto" w:fill="auto"/>
            <w:noWrap/>
            <w:tcMar>
              <w:top w:w="10" w:type="dxa"/>
              <w:left w:w="10" w:type="dxa"/>
              <w:right w:w="10" w:type="dxa"/>
            </w:tcMar>
            <w:vAlign w:val="center"/>
          </w:tcPr>
          <w:p w14:paraId="5BDE8174">
            <w:pPr>
              <w:rPr>
                <w:rFonts w:hint="eastAsia" w:ascii="宋体" w:hAnsi="宋体" w:eastAsia="宋体" w:cs="宋体"/>
                <w:i w:val="0"/>
                <w:iCs w:val="0"/>
                <w:strike w:val="0"/>
                <w:dstrike w:val="0"/>
                <w:vanish/>
                <w:color w:val="auto"/>
                <w:sz w:val="22"/>
                <w:szCs w:val="22"/>
                <w:u w:val="none"/>
              </w:rPr>
            </w:pPr>
          </w:p>
        </w:tc>
        <w:tc>
          <w:tcPr>
            <w:tcW w:w="8594" w:type="dxa"/>
            <w:shd w:val="clear" w:color="auto" w:fill="auto"/>
            <w:noWrap/>
            <w:tcMar>
              <w:top w:w="10" w:type="dxa"/>
              <w:left w:w="10" w:type="dxa"/>
              <w:right w:w="10" w:type="dxa"/>
            </w:tcMar>
            <w:vAlign w:val="center"/>
          </w:tcPr>
          <w:p w14:paraId="5B4FBF82">
            <w:pPr>
              <w:rPr>
                <w:rFonts w:hint="eastAsia" w:ascii="宋体" w:hAnsi="宋体" w:eastAsia="宋体" w:cs="宋体"/>
                <w:i w:val="0"/>
                <w:iCs w:val="0"/>
                <w:strike w:val="0"/>
                <w:dstrike w:val="0"/>
                <w:vanish/>
                <w:color w:val="auto"/>
                <w:sz w:val="22"/>
                <w:szCs w:val="22"/>
                <w:u w:val="none"/>
              </w:rPr>
            </w:pPr>
          </w:p>
        </w:tc>
        <w:tc>
          <w:tcPr>
            <w:tcW w:w="3286" w:type="dxa"/>
            <w:shd w:val="clear" w:color="auto" w:fill="auto"/>
            <w:noWrap/>
            <w:tcMar>
              <w:top w:w="10" w:type="dxa"/>
              <w:left w:w="10" w:type="dxa"/>
              <w:right w:w="10" w:type="dxa"/>
            </w:tcMar>
            <w:vAlign w:val="center"/>
          </w:tcPr>
          <w:p w14:paraId="0AC6DC7C">
            <w:pPr>
              <w:rPr>
                <w:rFonts w:hint="eastAsia" w:ascii="宋体" w:hAnsi="宋体" w:eastAsia="宋体" w:cs="宋体"/>
                <w:i w:val="0"/>
                <w:iCs w:val="0"/>
                <w:strike w:val="0"/>
                <w:dstrike w:val="0"/>
                <w:vanish/>
                <w:color w:val="auto"/>
                <w:sz w:val="22"/>
                <w:szCs w:val="22"/>
                <w:u w:val="none"/>
              </w:rPr>
            </w:pPr>
          </w:p>
        </w:tc>
        <w:tc>
          <w:tcPr>
            <w:tcW w:w="7102" w:type="dxa"/>
            <w:shd w:val="clear" w:color="auto" w:fill="auto"/>
            <w:noWrap/>
            <w:tcMar>
              <w:top w:w="10" w:type="dxa"/>
              <w:left w:w="10" w:type="dxa"/>
              <w:right w:w="10" w:type="dxa"/>
            </w:tcMar>
            <w:vAlign w:val="center"/>
          </w:tcPr>
          <w:p w14:paraId="2DD8F4DD">
            <w:pPr>
              <w:rPr>
                <w:rFonts w:hint="eastAsia" w:ascii="宋体" w:hAnsi="宋体" w:eastAsia="宋体" w:cs="宋体"/>
                <w:i w:val="0"/>
                <w:iCs w:val="0"/>
                <w:strike w:val="0"/>
                <w:dstrike w:val="0"/>
                <w:vanish/>
                <w:color w:val="auto"/>
                <w:sz w:val="22"/>
                <w:szCs w:val="22"/>
                <w:u w:val="none"/>
              </w:rPr>
            </w:pPr>
          </w:p>
        </w:tc>
        <w:tc>
          <w:tcPr>
            <w:tcW w:w="661" w:type="dxa"/>
            <w:shd w:val="clear" w:color="auto" w:fill="auto"/>
            <w:noWrap/>
            <w:tcMar>
              <w:top w:w="10" w:type="dxa"/>
              <w:left w:w="10" w:type="dxa"/>
              <w:right w:w="10" w:type="dxa"/>
            </w:tcMar>
            <w:vAlign w:val="center"/>
          </w:tcPr>
          <w:p w14:paraId="3738DB69">
            <w:pPr>
              <w:rPr>
                <w:rFonts w:hint="eastAsia" w:ascii="宋体" w:hAnsi="宋体" w:eastAsia="宋体" w:cs="宋体"/>
                <w:i w:val="0"/>
                <w:iCs w:val="0"/>
                <w:strike w:val="0"/>
                <w:dstrike w:val="0"/>
                <w:vanish/>
                <w:color w:val="auto"/>
                <w:sz w:val="22"/>
                <w:szCs w:val="22"/>
                <w:u w:val="none"/>
              </w:rPr>
            </w:pPr>
          </w:p>
        </w:tc>
        <w:tc>
          <w:tcPr>
            <w:tcW w:w="508" w:type="dxa"/>
            <w:shd w:val="clear" w:color="auto" w:fill="auto"/>
            <w:noWrap/>
            <w:tcMar>
              <w:top w:w="10" w:type="dxa"/>
              <w:left w:w="10" w:type="dxa"/>
              <w:right w:w="10" w:type="dxa"/>
            </w:tcMar>
            <w:vAlign w:val="center"/>
          </w:tcPr>
          <w:p w14:paraId="4B94D67C">
            <w:pPr>
              <w:rPr>
                <w:rFonts w:hint="eastAsia" w:ascii="宋体" w:hAnsi="宋体" w:eastAsia="宋体" w:cs="宋体"/>
                <w:i w:val="0"/>
                <w:iCs w:val="0"/>
                <w:strike w:val="0"/>
                <w:dstrike w:val="0"/>
                <w:vanish/>
                <w:color w:val="auto"/>
                <w:sz w:val="22"/>
                <w:szCs w:val="22"/>
                <w:u w:val="none"/>
              </w:rPr>
            </w:pPr>
          </w:p>
        </w:tc>
      </w:tr>
    </w:tbl>
    <w:p w14:paraId="090BD9DB">
      <w:pPr>
        <w:rPr>
          <w:color w:val="auto"/>
          <w:sz w:val="24"/>
          <w:szCs w:val="24"/>
        </w:rPr>
      </w:pPr>
    </w:p>
    <w:sectPr>
      <w:pgSz w:w="23811" w:h="16838" w:orient="landscape"/>
      <w:pgMar w:top="720" w:right="720" w:bottom="720" w:left="72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42"/>
  <w:embedSystem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852EC"/>
    <w:rsid w:val="03500DF6"/>
    <w:rsid w:val="089D5001"/>
    <w:rsid w:val="0BE94D75"/>
    <w:rsid w:val="0FD950E4"/>
    <w:rsid w:val="276E28C0"/>
    <w:rsid w:val="296C38CC"/>
    <w:rsid w:val="2F9E03A8"/>
    <w:rsid w:val="38F80769"/>
    <w:rsid w:val="39CB3DB0"/>
    <w:rsid w:val="4C08076C"/>
    <w:rsid w:val="4DC70F7A"/>
    <w:rsid w:val="597204CD"/>
    <w:rsid w:val="5D1514BA"/>
    <w:rsid w:val="645503D4"/>
    <w:rsid w:val="68725B23"/>
    <w:rsid w:val="FBE3590D"/>
    <w:rsid w:val="FDF7F1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color w:val="44546A"/>
      <w:kern w:val="0"/>
      <w:sz w:val="30"/>
      <w:szCs w:val="30"/>
      <w:u w:val="none"/>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color w:val="44546A"/>
      <w:kern w:val="0"/>
      <w:sz w:val="26"/>
      <w:szCs w:val="26"/>
      <w:u w:val="none"/>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color w:val="44546A"/>
      <w:kern w:val="0"/>
      <w:sz w:val="22"/>
      <w:szCs w:val="22"/>
      <w:u w:val="none"/>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color w:val="44546A"/>
      <w:kern w:val="0"/>
      <w:sz w:val="22"/>
      <w:szCs w:val="22"/>
      <w:u w:val="none"/>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Hyperlink"/>
    <w:basedOn w:val="11"/>
    <w:qFormat/>
    <w:uiPriority w:val="0"/>
    <w:rPr>
      <w:color w:val="0000FF"/>
      <w:u w:val="single"/>
    </w:rPr>
  </w:style>
  <w:style w:type="paragraph" w:customStyle="1" w:styleId="13">
    <w:name w:val="标题1"/>
    <w:next w:val="1"/>
    <w:hidden/>
    <w:qFormat/>
    <w:uiPriority w:val="0"/>
    <w:rPr>
      <w:rFonts w:hint="eastAsia" w:ascii="宋体" w:hAnsi="宋体" w:eastAsia="宋体" w:cs="宋体"/>
      <w:b/>
      <w:bCs/>
      <w:color w:val="44546A"/>
      <w:sz w:val="36"/>
      <w:szCs w:val="36"/>
      <w:u w:val="none"/>
    </w:rPr>
  </w:style>
  <w:style w:type="paragraph" w:customStyle="1" w:styleId="14">
    <w:name w:val="font23"/>
    <w:basedOn w:val="1"/>
    <w:qFormat/>
    <w:uiPriority w:val="0"/>
    <w:pPr>
      <w:jc w:val="left"/>
    </w:pPr>
    <w:rPr>
      <w:rFonts w:hint="eastAsia" w:ascii="宋体" w:hAnsi="宋体" w:eastAsia="宋体" w:cs="宋体"/>
      <w:color w:val="FFFFFF"/>
      <w:kern w:val="0"/>
      <w:sz w:val="22"/>
      <w:szCs w:val="22"/>
      <w:u w:val="none"/>
      <w:lang w:val="en-US" w:eastAsia="zh-CN" w:bidi="ar"/>
    </w:rPr>
  </w:style>
  <w:style w:type="paragraph" w:customStyle="1" w:styleId="15">
    <w:name w:val="font21"/>
    <w:basedOn w:val="1"/>
    <w:qFormat/>
    <w:uiPriority w:val="0"/>
    <w:pPr>
      <w:jc w:val="left"/>
    </w:pPr>
    <w:rPr>
      <w:rFonts w:hint="eastAsia" w:ascii="宋体" w:hAnsi="宋体" w:eastAsia="宋体" w:cs="宋体"/>
      <w:color w:val="9C0006"/>
      <w:kern w:val="0"/>
      <w:sz w:val="22"/>
      <w:szCs w:val="22"/>
      <w:u w:val="none"/>
      <w:lang w:val="en-US" w:eastAsia="zh-CN" w:bidi="ar"/>
    </w:rPr>
  </w:style>
  <w:style w:type="paragraph" w:customStyle="1" w:styleId="16">
    <w:name w:val="font5"/>
    <w:basedOn w:val="1"/>
    <w:qFormat/>
    <w:uiPriority w:val="0"/>
    <w:pPr>
      <w:jc w:val="left"/>
    </w:pPr>
    <w:rPr>
      <w:rFonts w:ascii="仿宋_GB2312" w:eastAsia="仿宋_GB2312" w:cs="仿宋_GB2312"/>
      <w:color w:val="000000"/>
      <w:kern w:val="0"/>
      <w:sz w:val="21"/>
      <w:szCs w:val="21"/>
      <w:u w:val="none"/>
      <w:lang w:val="en-US" w:eastAsia="zh-CN" w:bidi="ar"/>
    </w:rPr>
  </w:style>
  <w:style w:type="paragraph" w:customStyle="1" w:styleId="17">
    <w:name w:val="xl74"/>
    <w:basedOn w:val="1"/>
    <w:qFormat/>
    <w:uiPriority w:val="0"/>
    <w:pPr>
      <w:pBdr>
        <w:top w:val="single" w:color="auto" w:sz="4" w:space="0"/>
        <w:bottom w:val="single" w:color="auto" w:sz="4" w:space="0"/>
        <w:right w:val="single" w:color="auto" w:sz="4" w:space="0"/>
      </w:pBdr>
      <w:jc w:val="center"/>
    </w:pPr>
    <w:rPr>
      <w:rFonts w:ascii="黑体" w:hAnsi="宋体" w:eastAsia="黑体" w:cs="黑体"/>
      <w:kern w:val="0"/>
      <w:sz w:val="24"/>
      <w:szCs w:val="24"/>
      <w:lang w:val="en-US" w:eastAsia="zh-CN" w:bidi="ar"/>
    </w:rPr>
  </w:style>
  <w:style w:type="paragraph" w:customStyle="1" w:styleId="18">
    <w:name w:val="font22"/>
    <w:basedOn w:val="1"/>
    <w:qFormat/>
    <w:uiPriority w:val="0"/>
    <w:pPr>
      <w:jc w:val="left"/>
    </w:pPr>
    <w:rPr>
      <w:rFonts w:hint="eastAsia" w:ascii="宋体" w:hAnsi="宋体" w:eastAsia="宋体" w:cs="宋体"/>
      <w:color w:val="9C6500"/>
      <w:kern w:val="0"/>
      <w:sz w:val="22"/>
      <w:szCs w:val="22"/>
      <w:u w:val="none"/>
      <w:lang w:val="en-US" w:eastAsia="zh-CN" w:bidi="ar"/>
    </w:rPr>
  </w:style>
  <w:style w:type="paragraph" w:customStyle="1" w:styleId="19">
    <w:name w:val="标题 3 Char"/>
    <w:basedOn w:val="1"/>
    <w:qFormat/>
    <w:uiPriority w:val="0"/>
    <w:pPr>
      <w:pBdr>
        <w:top w:val="none" w:color="auto" w:sz="0" w:space="0"/>
        <w:left w:val="none" w:color="auto" w:sz="0" w:space="0"/>
        <w:bottom w:val="single" w:color="ACCCEA" w:sz="8" w:space="0"/>
        <w:right w:val="none" w:color="auto" w:sz="0" w:space="0"/>
      </w:pBdr>
      <w:jc w:val="left"/>
    </w:pPr>
    <w:rPr>
      <w:rFonts w:hint="eastAsia" w:ascii="宋体" w:hAnsi="宋体" w:eastAsia="宋体" w:cs="宋体"/>
      <w:b/>
      <w:bCs/>
      <w:color w:val="44546A"/>
      <w:kern w:val="0"/>
      <w:sz w:val="22"/>
      <w:szCs w:val="22"/>
      <w:u w:val="none"/>
      <w:lang w:val="en-US" w:eastAsia="zh-CN" w:bidi="ar"/>
    </w:rPr>
  </w:style>
  <w:style w:type="paragraph" w:customStyle="1" w:styleId="20">
    <w:name w:val="font1"/>
    <w:basedOn w:val="1"/>
    <w:qFormat/>
    <w:uiPriority w:val="0"/>
    <w:pPr>
      <w:jc w:val="left"/>
    </w:pPr>
    <w:rPr>
      <w:rFonts w:hint="eastAsia" w:ascii="黑体" w:hAnsi="宋体" w:eastAsia="黑体" w:cs="黑体"/>
      <w:color w:val="000000"/>
      <w:kern w:val="0"/>
      <w:sz w:val="24"/>
      <w:szCs w:val="24"/>
      <w:u w:val="none"/>
      <w:lang w:val="en-US" w:eastAsia="zh-CN" w:bidi="ar"/>
    </w:rPr>
  </w:style>
  <w:style w:type="paragraph" w:customStyle="1" w:styleId="21">
    <w:name w:val="font13"/>
    <w:basedOn w:val="1"/>
    <w:qFormat/>
    <w:uiPriority w:val="0"/>
    <w:pPr>
      <w:jc w:val="left"/>
    </w:pPr>
    <w:rPr>
      <w:rFonts w:hint="eastAsia" w:ascii="宋体" w:hAnsi="宋体" w:eastAsia="宋体" w:cs="宋体"/>
      <w:b/>
      <w:bCs/>
      <w:color w:val="44546A"/>
      <w:kern w:val="0"/>
      <w:sz w:val="22"/>
      <w:szCs w:val="22"/>
      <w:u w:val="none"/>
      <w:lang w:val="en-US" w:eastAsia="zh-CN" w:bidi="ar"/>
    </w:rPr>
  </w:style>
  <w:style w:type="paragraph" w:customStyle="1" w:styleId="22">
    <w:name w:val="强调文字颜色 2"/>
    <w:basedOn w:val="1"/>
    <w:qFormat/>
    <w:uiPriority w:val="0"/>
    <w:pPr>
      <w:shd w:val="clear" w:fill="ED7D31"/>
      <w:jc w:val="left"/>
    </w:pPr>
    <w:rPr>
      <w:rFonts w:hint="eastAsia" w:ascii="宋体" w:hAnsi="宋体" w:eastAsia="宋体" w:cs="宋体"/>
      <w:color w:val="FFFFFF"/>
      <w:kern w:val="0"/>
      <w:sz w:val="22"/>
      <w:szCs w:val="22"/>
      <w:u w:val="none"/>
      <w:lang w:val="en-US" w:eastAsia="zh-CN" w:bidi="ar"/>
    </w:rPr>
  </w:style>
  <w:style w:type="paragraph" w:customStyle="1" w:styleId="23">
    <w:name w:val="font6"/>
    <w:basedOn w:val="1"/>
    <w:qFormat/>
    <w:uiPriority w:val="0"/>
    <w:pPr>
      <w:jc w:val="left"/>
    </w:pPr>
    <w:rPr>
      <w:rFonts w:hint="eastAsia" w:ascii="宋体" w:hAnsi="宋体" w:eastAsia="宋体" w:cs="宋体"/>
      <w:color w:val="0000FF"/>
      <w:kern w:val="0"/>
      <w:sz w:val="22"/>
      <w:szCs w:val="22"/>
      <w:u w:val="single"/>
      <w:lang w:val="en-US" w:eastAsia="zh-CN" w:bidi="ar"/>
    </w:rPr>
  </w:style>
  <w:style w:type="paragraph" w:customStyle="1" w:styleId="24">
    <w:name w:val="xl78"/>
    <w:basedOn w:val="1"/>
    <w:qFormat/>
    <w:uiPriority w:val="0"/>
    <w:pPr>
      <w:pBdr>
        <w:left w:val="single" w:color="000000" w:sz="8" w:space="0"/>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25">
    <w:name w:val="font7"/>
    <w:basedOn w:val="1"/>
    <w:qFormat/>
    <w:uiPriority w:val="0"/>
    <w:pPr>
      <w:jc w:val="left"/>
    </w:pPr>
    <w:rPr>
      <w:rFonts w:hint="eastAsia" w:ascii="宋体" w:hAnsi="宋体" w:eastAsia="宋体" w:cs="宋体"/>
      <w:color w:val="800080"/>
      <w:kern w:val="0"/>
      <w:sz w:val="22"/>
      <w:szCs w:val="22"/>
      <w:u w:val="single"/>
      <w:lang w:val="en-US" w:eastAsia="zh-CN" w:bidi="ar"/>
    </w:rPr>
  </w:style>
  <w:style w:type="paragraph" w:customStyle="1" w:styleId="26">
    <w:name w:val="font4"/>
    <w:basedOn w:val="1"/>
    <w:qFormat/>
    <w:uiPriority w:val="0"/>
    <w:pPr>
      <w:jc w:val="left"/>
    </w:pPr>
    <w:rPr>
      <w:rFonts w:hint="default" w:ascii="仿宋_GB2312" w:eastAsia="仿宋_GB2312" w:cs="仿宋_GB2312"/>
      <w:color w:val="000000"/>
      <w:kern w:val="0"/>
      <w:sz w:val="21"/>
      <w:szCs w:val="21"/>
      <w:u w:val="none"/>
      <w:lang w:val="en-US" w:eastAsia="zh-CN" w:bidi="ar"/>
    </w:rPr>
  </w:style>
  <w:style w:type="paragraph" w:customStyle="1" w:styleId="27">
    <w:name w:val="百分比"/>
    <w:basedOn w:val="1"/>
    <w:qFormat/>
    <w:uiPriority w:val="0"/>
    <w:pPr>
      <w:jc w:val="left"/>
    </w:pPr>
    <w:rPr>
      <w:kern w:val="0"/>
      <w:lang w:val="en-US" w:eastAsia="zh-CN" w:bidi="ar"/>
    </w:rPr>
  </w:style>
  <w:style w:type="paragraph" w:customStyle="1" w:styleId="28">
    <w:name w:val="汇总"/>
    <w:basedOn w:val="1"/>
    <w:qFormat/>
    <w:uiPriority w:val="0"/>
    <w:pPr>
      <w:pBdr>
        <w:top w:val="single" w:color="5B9BD5" w:sz="4" w:space="0"/>
        <w:left w:val="none" w:color="auto" w:sz="0" w:space="0"/>
        <w:bottom w:val="double" w:color="5B9BD5" w:sz="4" w:space="0"/>
        <w:right w:val="none" w:color="auto" w:sz="0" w:space="0"/>
      </w:pBdr>
      <w:jc w:val="left"/>
    </w:pPr>
    <w:rPr>
      <w:rFonts w:hint="eastAsia" w:ascii="宋体" w:hAnsi="宋体" w:eastAsia="宋体" w:cs="宋体"/>
      <w:b/>
      <w:bCs/>
      <w:color w:val="000000"/>
      <w:kern w:val="0"/>
      <w:sz w:val="22"/>
      <w:szCs w:val="22"/>
      <w:u w:val="none"/>
      <w:lang w:val="en-US" w:eastAsia="zh-CN" w:bidi="ar"/>
    </w:rPr>
  </w:style>
  <w:style w:type="paragraph" w:customStyle="1" w:styleId="29">
    <w:name w:val="标题 1 Char"/>
    <w:basedOn w:val="1"/>
    <w:qFormat/>
    <w:uiPriority w:val="0"/>
    <w:pPr>
      <w:pBdr>
        <w:top w:val="none" w:color="auto" w:sz="0" w:space="0"/>
        <w:left w:val="none" w:color="auto" w:sz="0" w:space="0"/>
        <w:bottom w:val="single" w:color="5B9BD5" w:sz="8" w:space="0"/>
        <w:right w:val="none" w:color="auto" w:sz="0" w:space="0"/>
      </w:pBdr>
      <w:jc w:val="left"/>
    </w:pPr>
    <w:rPr>
      <w:rFonts w:hint="eastAsia" w:ascii="宋体" w:hAnsi="宋体" w:eastAsia="宋体" w:cs="宋体"/>
      <w:b/>
      <w:bCs/>
      <w:color w:val="44546A"/>
      <w:kern w:val="0"/>
      <w:sz w:val="30"/>
      <w:szCs w:val="30"/>
      <w:u w:val="none"/>
      <w:lang w:val="en-US" w:eastAsia="zh-CN" w:bidi="ar"/>
    </w:rPr>
  </w:style>
  <w:style w:type="paragraph" w:customStyle="1" w:styleId="30">
    <w:name w:val="40% - 强调文字颜色 3"/>
    <w:basedOn w:val="1"/>
    <w:qFormat/>
    <w:uiPriority w:val="0"/>
    <w:pPr>
      <w:shd w:val="clear" w:fill="DBDBDB"/>
      <w:jc w:val="left"/>
    </w:pPr>
    <w:rPr>
      <w:rFonts w:hint="eastAsia" w:ascii="宋体" w:hAnsi="宋体" w:eastAsia="宋体" w:cs="宋体"/>
      <w:color w:val="000000"/>
      <w:kern w:val="0"/>
      <w:sz w:val="22"/>
      <w:szCs w:val="22"/>
      <w:u w:val="none"/>
      <w:lang w:val="en-US" w:eastAsia="zh-CN" w:bidi="ar"/>
    </w:rPr>
  </w:style>
  <w:style w:type="paragraph" w:customStyle="1" w:styleId="31">
    <w:name w:val="font19"/>
    <w:basedOn w:val="1"/>
    <w:qFormat/>
    <w:uiPriority w:val="0"/>
    <w:pPr>
      <w:jc w:val="left"/>
    </w:pPr>
    <w:rPr>
      <w:rFonts w:hint="eastAsia" w:ascii="宋体" w:hAnsi="宋体" w:eastAsia="宋体" w:cs="宋体"/>
      <w:b/>
      <w:bCs/>
      <w:color w:val="000000"/>
      <w:kern w:val="0"/>
      <w:sz w:val="22"/>
      <w:szCs w:val="22"/>
      <w:u w:val="none"/>
      <w:lang w:val="en-US" w:eastAsia="zh-CN" w:bidi="ar"/>
    </w:rPr>
  </w:style>
  <w:style w:type="paragraph" w:customStyle="1" w:styleId="32">
    <w:name w:val="xl83"/>
    <w:basedOn w:val="1"/>
    <w:qFormat/>
    <w:uiPriority w:val="0"/>
    <w:pPr>
      <w:pBdr>
        <w:bottom w:val="single" w:color="000000" w:sz="8" w:space="0"/>
        <w:right w:val="single" w:color="000000" w:sz="8" w:space="0"/>
      </w:pBdr>
      <w:jc w:val="left"/>
    </w:pPr>
    <w:rPr>
      <w:kern w:val="0"/>
      <w:lang w:val="en-US" w:eastAsia="zh-CN" w:bidi="ar"/>
    </w:rPr>
  </w:style>
  <w:style w:type="paragraph" w:customStyle="1" w:styleId="33">
    <w:name w:val="font9"/>
    <w:basedOn w:val="1"/>
    <w:qFormat/>
    <w:uiPriority w:val="0"/>
    <w:pPr>
      <w:jc w:val="left"/>
    </w:pPr>
    <w:rPr>
      <w:rFonts w:hint="eastAsia" w:ascii="宋体" w:hAnsi="宋体" w:eastAsia="宋体" w:cs="宋体"/>
      <w:b/>
      <w:bCs/>
      <w:color w:val="44546A"/>
      <w:kern w:val="0"/>
      <w:sz w:val="36"/>
      <w:szCs w:val="36"/>
      <w:u w:val="none"/>
      <w:lang w:val="en-US" w:eastAsia="zh-CN" w:bidi="ar"/>
    </w:rPr>
  </w:style>
  <w:style w:type="paragraph" w:customStyle="1" w:styleId="34">
    <w:name w:val="标题 4 Char"/>
    <w:basedOn w:val="1"/>
    <w:qFormat/>
    <w:uiPriority w:val="0"/>
    <w:pPr>
      <w:jc w:val="left"/>
    </w:pPr>
    <w:rPr>
      <w:rFonts w:hint="eastAsia" w:ascii="宋体" w:hAnsi="宋体" w:eastAsia="宋体" w:cs="宋体"/>
      <w:b/>
      <w:bCs/>
      <w:color w:val="44546A"/>
      <w:kern w:val="0"/>
      <w:sz w:val="22"/>
      <w:szCs w:val="22"/>
      <w:u w:val="none"/>
      <w:lang w:val="en-US" w:eastAsia="zh-CN" w:bidi="ar"/>
    </w:rPr>
  </w:style>
  <w:style w:type="paragraph" w:customStyle="1" w:styleId="35">
    <w:name w:val="60% - 强调文字颜色 5"/>
    <w:basedOn w:val="1"/>
    <w:qFormat/>
    <w:uiPriority w:val="0"/>
    <w:pPr>
      <w:shd w:val="clear" w:fill="8EA9DB"/>
      <w:jc w:val="left"/>
    </w:pPr>
    <w:rPr>
      <w:rFonts w:hint="eastAsia" w:ascii="宋体" w:hAnsi="宋体" w:eastAsia="宋体" w:cs="宋体"/>
      <w:color w:val="FFFFFF"/>
      <w:kern w:val="0"/>
      <w:sz w:val="22"/>
      <w:szCs w:val="22"/>
      <w:u w:val="none"/>
      <w:lang w:val="en-US" w:eastAsia="zh-CN" w:bidi="ar"/>
    </w:rPr>
  </w:style>
  <w:style w:type="paragraph" w:customStyle="1" w:styleId="36">
    <w:name w:val="警告文本"/>
    <w:basedOn w:val="1"/>
    <w:qFormat/>
    <w:uiPriority w:val="0"/>
    <w:pPr>
      <w:jc w:val="left"/>
    </w:pPr>
    <w:rPr>
      <w:rFonts w:hint="eastAsia" w:ascii="宋体" w:hAnsi="宋体" w:eastAsia="宋体" w:cs="宋体"/>
      <w:color w:val="FF0000"/>
      <w:kern w:val="0"/>
      <w:sz w:val="22"/>
      <w:szCs w:val="22"/>
      <w:u w:val="none"/>
      <w:lang w:val="en-US" w:eastAsia="zh-CN" w:bidi="ar"/>
    </w:rPr>
  </w:style>
  <w:style w:type="paragraph" w:customStyle="1" w:styleId="37">
    <w:name w:val="font0"/>
    <w:basedOn w:val="1"/>
    <w:qFormat/>
    <w:uiPriority w:val="0"/>
    <w:pPr>
      <w:jc w:val="left"/>
    </w:pPr>
    <w:rPr>
      <w:rFonts w:hint="eastAsia" w:ascii="宋体" w:hAnsi="宋体" w:eastAsia="宋体" w:cs="宋体"/>
      <w:color w:val="000000"/>
      <w:kern w:val="0"/>
      <w:sz w:val="22"/>
      <w:szCs w:val="22"/>
      <w:u w:val="none"/>
      <w:lang w:val="en-US" w:eastAsia="zh-CN" w:bidi="ar"/>
    </w:rPr>
  </w:style>
  <w:style w:type="paragraph" w:customStyle="1" w:styleId="38">
    <w:name w:val="货币"/>
    <w:basedOn w:val="1"/>
    <w:qFormat/>
    <w:uiPriority w:val="0"/>
    <w:pPr>
      <w:jc w:val="left"/>
    </w:pPr>
    <w:rPr>
      <w:kern w:val="0"/>
      <w:lang w:val="en-US" w:eastAsia="zh-CN" w:bidi="ar"/>
    </w:rPr>
  </w:style>
  <w:style w:type="paragraph" w:customStyle="1" w:styleId="39">
    <w:name w:val="font18"/>
    <w:basedOn w:val="1"/>
    <w:qFormat/>
    <w:uiPriority w:val="0"/>
    <w:pPr>
      <w:jc w:val="left"/>
    </w:pPr>
    <w:rPr>
      <w:rFonts w:hint="eastAsia" w:ascii="宋体" w:hAnsi="宋体" w:eastAsia="宋体" w:cs="宋体"/>
      <w:color w:val="FA7D00"/>
      <w:kern w:val="0"/>
      <w:sz w:val="22"/>
      <w:szCs w:val="22"/>
      <w:u w:val="none"/>
      <w:lang w:val="en-US" w:eastAsia="zh-CN" w:bidi="ar"/>
    </w:rPr>
  </w:style>
  <w:style w:type="paragraph" w:customStyle="1" w:styleId="40">
    <w:name w:val="20% - 强调文字颜色 5"/>
    <w:basedOn w:val="1"/>
    <w:qFormat/>
    <w:uiPriority w:val="0"/>
    <w:pPr>
      <w:shd w:val="clear" w:fill="D9E1F2"/>
      <w:jc w:val="left"/>
    </w:pPr>
    <w:rPr>
      <w:rFonts w:hint="eastAsia" w:ascii="宋体" w:hAnsi="宋体" w:eastAsia="宋体" w:cs="宋体"/>
      <w:color w:val="000000"/>
      <w:kern w:val="0"/>
      <w:sz w:val="22"/>
      <w:szCs w:val="22"/>
      <w:u w:val="none"/>
      <w:lang w:val="en-US" w:eastAsia="zh-CN" w:bidi="ar"/>
    </w:rPr>
  </w:style>
  <w:style w:type="paragraph" w:customStyle="1" w:styleId="41">
    <w:name w:val="常规"/>
    <w:basedOn w:val="1"/>
    <w:qFormat/>
    <w:uiPriority w:val="0"/>
    <w:pPr>
      <w:pBdr>
        <w:top w:val="none" w:color="auto" w:sz="0" w:space="0"/>
        <w:left w:val="none" w:color="auto" w:sz="0" w:space="0"/>
        <w:bottom w:val="none" w:color="auto" w:sz="0" w:space="0"/>
        <w:right w:val="none" w:color="auto" w:sz="0" w:space="0"/>
      </w:pBdr>
      <w:jc w:val="left"/>
      <w:textAlignment w:val="center"/>
    </w:pPr>
    <w:rPr>
      <w:rFonts w:hint="eastAsia" w:ascii="宋体" w:hAnsi="宋体" w:eastAsia="宋体" w:cs="宋体"/>
      <w:color w:val="000000"/>
      <w:kern w:val="0"/>
      <w:sz w:val="22"/>
      <w:szCs w:val="22"/>
      <w:u w:val="none"/>
      <w:lang w:val="en-US" w:eastAsia="zh-CN" w:bidi="ar"/>
    </w:rPr>
  </w:style>
  <w:style w:type="paragraph" w:customStyle="1" w:styleId="42">
    <w:name w:val="检查单元格"/>
    <w:basedOn w:val="1"/>
    <w:qFormat/>
    <w:uiPriority w:val="0"/>
    <w:pPr>
      <w:pBdr>
        <w:top w:val="double" w:color="3F3F3F" w:sz="4" w:space="0"/>
        <w:left w:val="double" w:color="3F3F3F" w:sz="4" w:space="0"/>
        <w:bottom w:val="double" w:color="3F3F3F" w:sz="4" w:space="0"/>
        <w:right w:val="double" w:color="3F3F3F" w:sz="4" w:space="0"/>
      </w:pBdr>
      <w:shd w:val="clear" w:fill="A5A5A5"/>
      <w:jc w:val="left"/>
    </w:pPr>
    <w:rPr>
      <w:rFonts w:hint="eastAsia" w:ascii="宋体" w:hAnsi="宋体" w:eastAsia="宋体" w:cs="宋体"/>
      <w:b/>
      <w:bCs/>
      <w:color w:val="FFFFFF"/>
      <w:kern w:val="0"/>
      <w:sz w:val="22"/>
      <w:szCs w:val="22"/>
      <w:u w:val="none"/>
      <w:lang w:val="en-US" w:eastAsia="zh-CN" w:bidi="ar"/>
    </w:rPr>
  </w:style>
  <w:style w:type="paragraph" w:customStyle="1" w:styleId="43">
    <w:name w:val="xl66"/>
    <w:basedOn w:val="1"/>
    <w:qFormat/>
    <w:uiPriority w:val="0"/>
    <w:pPr>
      <w:jc w:val="center"/>
    </w:pPr>
    <w:rPr>
      <w:rFonts w:hint="eastAsia" w:ascii="黑体" w:hAnsi="宋体" w:eastAsia="黑体" w:cs="黑体"/>
      <w:kern w:val="0"/>
      <w:sz w:val="24"/>
      <w:szCs w:val="24"/>
      <w:lang w:val="en-US" w:eastAsia="zh-CN" w:bidi="ar"/>
    </w:rPr>
  </w:style>
  <w:style w:type="paragraph" w:customStyle="1" w:styleId="44">
    <w:name w:val="font17"/>
    <w:basedOn w:val="1"/>
    <w:qFormat/>
    <w:uiPriority w:val="0"/>
    <w:pPr>
      <w:jc w:val="left"/>
    </w:pPr>
    <w:rPr>
      <w:rFonts w:hint="eastAsia" w:ascii="宋体" w:hAnsi="宋体" w:eastAsia="宋体" w:cs="宋体"/>
      <w:b/>
      <w:bCs/>
      <w:color w:val="FFFFFF"/>
      <w:kern w:val="0"/>
      <w:sz w:val="22"/>
      <w:szCs w:val="22"/>
      <w:u w:val="none"/>
      <w:lang w:val="en-US" w:eastAsia="zh-CN" w:bidi="ar"/>
    </w:rPr>
  </w:style>
  <w:style w:type="paragraph" w:customStyle="1" w:styleId="45">
    <w:name w:val="font25"/>
    <w:basedOn w:val="1"/>
    <w:qFormat/>
    <w:uiPriority w:val="0"/>
    <w:pPr>
      <w:jc w:val="left"/>
    </w:pPr>
    <w:rPr>
      <w:rFonts w:hint="default" w:ascii="Times New Roman" w:hAnsi="Times New Roman" w:cs="Times New Roman"/>
      <w:color w:val="000000"/>
      <w:kern w:val="0"/>
      <w:sz w:val="24"/>
      <w:szCs w:val="24"/>
      <w:u w:val="none"/>
      <w:lang w:val="en-US" w:eastAsia="zh-CN" w:bidi="ar"/>
    </w:rPr>
  </w:style>
  <w:style w:type="paragraph" w:customStyle="1" w:styleId="46">
    <w:name w:val="font15"/>
    <w:basedOn w:val="1"/>
    <w:qFormat/>
    <w:uiPriority w:val="0"/>
    <w:pPr>
      <w:jc w:val="left"/>
    </w:pPr>
    <w:rPr>
      <w:rFonts w:hint="eastAsia" w:ascii="宋体" w:hAnsi="宋体" w:eastAsia="宋体" w:cs="宋体"/>
      <w:b/>
      <w:bCs/>
      <w:color w:val="3F3F3F"/>
      <w:kern w:val="0"/>
      <w:sz w:val="22"/>
      <w:szCs w:val="22"/>
      <w:u w:val="none"/>
      <w:lang w:val="en-US" w:eastAsia="zh-CN" w:bidi="ar"/>
    </w:rPr>
  </w:style>
  <w:style w:type="paragraph" w:customStyle="1" w:styleId="47">
    <w:name w:val="解释性文本"/>
    <w:basedOn w:val="1"/>
    <w:qFormat/>
    <w:uiPriority w:val="0"/>
    <w:pPr>
      <w:jc w:val="left"/>
    </w:pPr>
    <w:rPr>
      <w:rFonts w:hint="eastAsia" w:ascii="宋体" w:hAnsi="宋体" w:eastAsia="宋体" w:cs="宋体"/>
      <w:i/>
      <w:iCs/>
      <w:color w:val="7F7F7F"/>
      <w:kern w:val="0"/>
      <w:sz w:val="22"/>
      <w:szCs w:val="22"/>
      <w:u w:val="none"/>
      <w:lang w:val="en-US" w:eastAsia="zh-CN" w:bidi="ar"/>
    </w:rPr>
  </w:style>
  <w:style w:type="paragraph" w:customStyle="1" w:styleId="48">
    <w:name w:val="20% - 强调文字颜色 2"/>
    <w:basedOn w:val="1"/>
    <w:qFormat/>
    <w:uiPriority w:val="0"/>
    <w:pPr>
      <w:shd w:val="clear" w:fill="FCE4D6"/>
      <w:jc w:val="left"/>
    </w:pPr>
    <w:rPr>
      <w:rFonts w:hint="eastAsia" w:ascii="宋体" w:hAnsi="宋体" w:eastAsia="宋体" w:cs="宋体"/>
      <w:color w:val="000000"/>
      <w:kern w:val="0"/>
      <w:sz w:val="22"/>
      <w:szCs w:val="22"/>
      <w:u w:val="none"/>
      <w:lang w:val="en-US" w:eastAsia="zh-CN" w:bidi="ar"/>
    </w:rPr>
  </w:style>
  <w:style w:type="paragraph" w:customStyle="1" w:styleId="49">
    <w:name w:val="xl80"/>
    <w:basedOn w:val="1"/>
    <w:qFormat/>
    <w:uiPriority w:val="0"/>
    <w:pPr>
      <w:pBdr>
        <w:bottom w:val="single" w:color="000000" w:sz="8" w:space="0"/>
        <w:right w:val="single" w:color="000000" w:sz="8" w:space="0"/>
      </w:pBdr>
      <w:jc w:val="left"/>
    </w:pPr>
    <w:rPr>
      <w:rFonts w:hint="default" w:ascii="仿宋_GB2312" w:eastAsia="仿宋_GB2312" w:cs="仿宋_GB2312"/>
      <w:kern w:val="0"/>
      <w:sz w:val="21"/>
      <w:szCs w:val="21"/>
      <w:lang w:val="en-US" w:eastAsia="zh-CN" w:bidi="ar"/>
    </w:rPr>
  </w:style>
  <w:style w:type="paragraph" w:customStyle="1" w:styleId="50">
    <w:name w:val="输出"/>
    <w:basedOn w:val="1"/>
    <w:qFormat/>
    <w:uiPriority w:val="0"/>
    <w:pPr>
      <w:pBdr>
        <w:top w:val="single" w:color="3F3F3F" w:sz="4" w:space="0"/>
        <w:left w:val="single" w:color="3F3F3F" w:sz="4" w:space="0"/>
        <w:bottom w:val="single" w:color="3F3F3F" w:sz="4" w:space="0"/>
        <w:right w:val="single" w:color="3F3F3F" w:sz="4" w:space="0"/>
      </w:pBdr>
      <w:shd w:val="clear" w:fill="F2F2F2"/>
      <w:jc w:val="left"/>
    </w:pPr>
    <w:rPr>
      <w:rFonts w:hint="eastAsia" w:ascii="宋体" w:hAnsi="宋体" w:eastAsia="宋体" w:cs="宋体"/>
      <w:b/>
      <w:bCs/>
      <w:color w:val="3F3F3F"/>
      <w:kern w:val="0"/>
      <w:sz w:val="22"/>
      <w:szCs w:val="22"/>
      <w:u w:val="none"/>
      <w:lang w:val="en-US" w:eastAsia="zh-CN" w:bidi="ar"/>
    </w:rPr>
  </w:style>
  <w:style w:type="paragraph" w:customStyle="1" w:styleId="51">
    <w:name w:val="强调文字颜色 5"/>
    <w:basedOn w:val="1"/>
    <w:qFormat/>
    <w:uiPriority w:val="0"/>
    <w:pPr>
      <w:shd w:val="clear" w:fill="4472C4"/>
      <w:jc w:val="left"/>
    </w:pPr>
    <w:rPr>
      <w:rFonts w:hint="eastAsia" w:ascii="宋体" w:hAnsi="宋体" w:eastAsia="宋体" w:cs="宋体"/>
      <w:color w:val="FFFFFF"/>
      <w:kern w:val="0"/>
      <w:sz w:val="22"/>
      <w:szCs w:val="22"/>
      <w:u w:val="none"/>
      <w:lang w:val="en-US" w:eastAsia="zh-CN" w:bidi="ar"/>
    </w:rPr>
  </w:style>
  <w:style w:type="paragraph" w:customStyle="1" w:styleId="52">
    <w:name w:val="xl79"/>
    <w:basedOn w:val="1"/>
    <w:qFormat/>
    <w:uiPriority w:val="0"/>
    <w:pPr>
      <w:pBdr>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53">
    <w:name w:val="xl65"/>
    <w:basedOn w:val="1"/>
    <w:qFormat/>
    <w:uiPriority w:val="0"/>
    <w:pPr>
      <w:jc w:val="center"/>
    </w:pPr>
    <w:rPr>
      <w:kern w:val="0"/>
      <w:lang w:val="en-US" w:eastAsia="zh-CN" w:bidi="ar"/>
    </w:rPr>
  </w:style>
  <w:style w:type="paragraph" w:customStyle="1" w:styleId="54">
    <w:name w:val="font2"/>
    <w:basedOn w:val="1"/>
    <w:qFormat/>
    <w:uiPriority w:val="0"/>
    <w:pPr>
      <w:jc w:val="left"/>
    </w:pPr>
    <w:rPr>
      <w:rFonts w:ascii="方正小标宋简体" w:hAnsi="方正小标宋简体" w:eastAsia="方正小标宋简体" w:cs="方正小标宋简体"/>
      <w:color w:val="000000"/>
      <w:kern w:val="0"/>
      <w:sz w:val="44"/>
      <w:szCs w:val="44"/>
      <w:u w:val="none"/>
      <w:lang w:val="en-US" w:eastAsia="zh-CN" w:bidi="ar"/>
    </w:rPr>
  </w:style>
  <w:style w:type="paragraph" w:customStyle="1" w:styleId="55">
    <w:name w:val="font3"/>
    <w:basedOn w:val="1"/>
    <w:qFormat/>
    <w:uiPriority w:val="0"/>
    <w:pPr>
      <w:jc w:val="left"/>
    </w:pPr>
    <w:rPr>
      <w:rFonts w:hint="eastAsia" w:ascii="黑体" w:hAnsi="宋体" w:eastAsia="黑体" w:cs="黑体"/>
      <w:color w:val="000000"/>
      <w:kern w:val="0"/>
      <w:sz w:val="22"/>
      <w:szCs w:val="22"/>
      <w:u w:val="none"/>
      <w:lang w:val="en-US" w:eastAsia="zh-CN" w:bidi="ar"/>
    </w:rPr>
  </w:style>
  <w:style w:type="paragraph" w:customStyle="1" w:styleId="56">
    <w:name w:val="xl72"/>
    <w:basedOn w:val="1"/>
    <w:qFormat/>
    <w:uiPriority w:val="0"/>
    <w:pPr>
      <w:pBdr>
        <w:top w:val="single" w:color="auto" w:sz="4" w:space="0"/>
        <w:left w:val="single" w:color="auto" w:sz="4" w:space="0"/>
        <w:bottom w:val="single" w:color="auto" w:sz="4" w:space="0"/>
      </w:pBdr>
      <w:jc w:val="center"/>
    </w:pPr>
    <w:rPr>
      <w:rFonts w:hint="eastAsia" w:ascii="黑体" w:hAnsi="宋体" w:eastAsia="黑体" w:cs="黑体"/>
      <w:kern w:val="0"/>
      <w:sz w:val="24"/>
      <w:szCs w:val="24"/>
      <w:lang w:val="en-US" w:eastAsia="zh-CN" w:bidi="ar"/>
    </w:rPr>
  </w:style>
  <w:style w:type="paragraph" w:customStyle="1" w:styleId="57">
    <w:name w:val="千位分隔"/>
    <w:basedOn w:val="1"/>
    <w:qFormat/>
    <w:uiPriority w:val="0"/>
    <w:pPr>
      <w:jc w:val="left"/>
    </w:pPr>
    <w:rPr>
      <w:kern w:val="0"/>
      <w:lang w:val="en-US" w:eastAsia="zh-CN" w:bidi="ar"/>
    </w:rPr>
  </w:style>
  <w:style w:type="paragraph" w:customStyle="1" w:styleId="58">
    <w:name w:val="font241"/>
    <w:basedOn w:val="1"/>
    <w:qFormat/>
    <w:uiPriority w:val="0"/>
    <w:pPr>
      <w:jc w:val="left"/>
    </w:pPr>
    <w:rPr>
      <w:rFonts w:hint="eastAsia" w:ascii="宋体" w:hAnsi="宋体" w:eastAsia="宋体" w:cs="宋体"/>
      <w:color w:val="000000"/>
      <w:kern w:val="0"/>
      <w:sz w:val="22"/>
      <w:szCs w:val="22"/>
      <w:u w:val="none"/>
      <w:lang w:val="en-US" w:eastAsia="zh-CN" w:bidi="ar"/>
    </w:rPr>
  </w:style>
  <w:style w:type="paragraph" w:customStyle="1" w:styleId="59">
    <w:name w:val="标题 Char"/>
    <w:basedOn w:val="1"/>
    <w:qFormat/>
    <w:uiPriority w:val="0"/>
    <w:pPr>
      <w:jc w:val="left"/>
    </w:pPr>
    <w:rPr>
      <w:rFonts w:hint="eastAsia" w:ascii="宋体" w:hAnsi="宋体" w:eastAsia="宋体" w:cs="宋体"/>
      <w:b/>
      <w:bCs/>
      <w:color w:val="44546A"/>
      <w:kern w:val="0"/>
      <w:sz w:val="36"/>
      <w:szCs w:val="36"/>
      <w:u w:val="none"/>
      <w:lang w:val="en-US" w:eastAsia="zh-CN" w:bidi="ar"/>
    </w:rPr>
  </w:style>
  <w:style w:type="paragraph" w:customStyle="1" w:styleId="60">
    <w:name w:val="font8"/>
    <w:basedOn w:val="1"/>
    <w:qFormat/>
    <w:uiPriority w:val="0"/>
    <w:pPr>
      <w:jc w:val="left"/>
    </w:pPr>
    <w:rPr>
      <w:rFonts w:hint="eastAsia" w:ascii="宋体" w:hAnsi="宋体" w:eastAsia="宋体" w:cs="宋体"/>
      <w:color w:val="FF0000"/>
      <w:kern w:val="0"/>
      <w:sz w:val="22"/>
      <w:szCs w:val="22"/>
      <w:u w:val="none"/>
      <w:lang w:val="en-US" w:eastAsia="zh-CN" w:bidi="ar"/>
    </w:rPr>
  </w:style>
  <w:style w:type="paragraph" w:customStyle="1" w:styleId="61">
    <w:name w:val="font10"/>
    <w:basedOn w:val="1"/>
    <w:qFormat/>
    <w:uiPriority w:val="0"/>
    <w:pPr>
      <w:jc w:val="left"/>
    </w:pPr>
    <w:rPr>
      <w:rFonts w:hint="eastAsia" w:ascii="宋体" w:hAnsi="宋体" w:eastAsia="宋体" w:cs="宋体"/>
      <w:i/>
      <w:iCs/>
      <w:color w:val="7F7F7F"/>
      <w:kern w:val="0"/>
      <w:sz w:val="22"/>
      <w:szCs w:val="22"/>
      <w:u w:val="none"/>
      <w:lang w:val="en-US" w:eastAsia="zh-CN" w:bidi="ar"/>
    </w:rPr>
  </w:style>
  <w:style w:type="paragraph" w:customStyle="1" w:styleId="62">
    <w:name w:val="输入"/>
    <w:basedOn w:val="1"/>
    <w:qFormat/>
    <w:uiPriority w:val="0"/>
    <w:pPr>
      <w:pBdr>
        <w:top w:val="single" w:color="7F7F7F" w:sz="4" w:space="0"/>
        <w:left w:val="single" w:color="7F7F7F" w:sz="4" w:space="0"/>
        <w:bottom w:val="single" w:color="7F7F7F" w:sz="4" w:space="0"/>
        <w:right w:val="single" w:color="7F7F7F" w:sz="4" w:space="0"/>
      </w:pBdr>
      <w:shd w:val="clear" w:fill="FFCC99"/>
      <w:jc w:val="left"/>
    </w:pPr>
    <w:rPr>
      <w:rFonts w:hint="eastAsia" w:ascii="宋体" w:hAnsi="宋体" w:eastAsia="宋体" w:cs="宋体"/>
      <w:color w:val="3F3F76"/>
      <w:kern w:val="0"/>
      <w:sz w:val="22"/>
      <w:szCs w:val="22"/>
      <w:u w:val="none"/>
      <w:lang w:val="en-US" w:eastAsia="zh-CN" w:bidi="ar"/>
    </w:rPr>
  </w:style>
  <w:style w:type="paragraph" w:customStyle="1" w:styleId="63">
    <w:name w:val="60% - 强调文字颜色 2"/>
    <w:basedOn w:val="1"/>
    <w:qFormat/>
    <w:uiPriority w:val="0"/>
    <w:pPr>
      <w:shd w:val="clear" w:fill="F4B084"/>
      <w:jc w:val="left"/>
    </w:pPr>
    <w:rPr>
      <w:rFonts w:hint="eastAsia" w:ascii="宋体" w:hAnsi="宋体" w:eastAsia="宋体" w:cs="宋体"/>
      <w:color w:val="FFFFFF"/>
      <w:kern w:val="0"/>
      <w:sz w:val="22"/>
      <w:szCs w:val="22"/>
      <w:u w:val="none"/>
      <w:lang w:val="en-US" w:eastAsia="zh-CN" w:bidi="ar"/>
    </w:rPr>
  </w:style>
  <w:style w:type="paragraph" w:customStyle="1" w:styleId="64">
    <w:name w:val="font111"/>
    <w:basedOn w:val="1"/>
    <w:qFormat/>
    <w:uiPriority w:val="0"/>
    <w:pPr>
      <w:jc w:val="left"/>
    </w:pPr>
    <w:rPr>
      <w:rFonts w:hint="eastAsia" w:ascii="宋体" w:hAnsi="宋体" w:eastAsia="宋体" w:cs="宋体"/>
      <w:b/>
      <w:bCs/>
      <w:color w:val="44546A"/>
      <w:kern w:val="0"/>
      <w:sz w:val="30"/>
      <w:szCs w:val="30"/>
      <w:u w:val="none"/>
      <w:lang w:val="en-US" w:eastAsia="zh-CN" w:bidi="ar"/>
    </w:rPr>
  </w:style>
  <w:style w:type="paragraph" w:customStyle="1" w:styleId="65">
    <w:name w:val="链接单元格"/>
    <w:basedOn w:val="1"/>
    <w:qFormat/>
    <w:uiPriority w:val="0"/>
    <w:pPr>
      <w:pBdr>
        <w:top w:val="none" w:color="auto" w:sz="0" w:space="0"/>
        <w:left w:val="none" w:color="auto" w:sz="0" w:space="0"/>
        <w:bottom w:val="double" w:color="FF8001" w:sz="4" w:space="0"/>
        <w:right w:val="none" w:color="auto" w:sz="0" w:space="0"/>
      </w:pBdr>
      <w:jc w:val="left"/>
    </w:pPr>
    <w:rPr>
      <w:rFonts w:hint="eastAsia" w:ascii="宋体" w:hAnsi="宋体" w:eastAsia="宋体" w:cs="宋体"/>
      <w:color w:val="FA7D00"/>
      <w:kern w:val="0"/>
      <w:sz w:val="22"/>
      <w:szCs w:val="22"/>
      <w:u w:val="none"/>
      <w:lang w:val="en-US" w:eastAsia="zh-CN" w:bidi="ar"/>
    </w:rPr>
  </w:style>
  <w:style w:type="paragraph" w:customStyle="1" w:styleId="66">
    <w:name w:val="xl70"/>
    <w:basedOn w:val="1"/>
    <w:qFormat/>
    <w:uiPriority w:val="0"/>
    <w:pPr>
      <w:jc w:val="both"/>
    </w:pPr>
    <w:rPr>
      <w:rFonts w:hint="eastAsia" w:ascii="黑体" w:hAnsi="宋体" w:eastAsia="黑体" w:cs="黑体"/>
      <w:kern w:val="0"/>
      <w:lang w:val="en-US" w:eastAsia="zh-CN" w:bidi="ar"/>
    </w:rPr>
  </w:style>
  <w:style w:type="paragraph" w:customStyle="1" w:styleId="67">
    <w:name w:val="货币[0]"/>
    <w:basedOn w:val="1"/>
    <w:qFormat/>
    <w:uiPriority w:val="0"/>
    <w:pPr>
      <w:jc w:val="left"/>
    </w:pPr>
    <w:rPr>
      <w:kern w:val="0"/>
      <w:lang w:val="en-US" w:eastAsia="zh-CN" w:bidi="ar"/>
    </w:rPr>
  </w:style>
  <w:style w:type="paragraph" w:customStyle="1" w:styleId="68">
    <w:name w:val="font12"/>
    <w:basedOn w:val="1"/>
    <w:qFormat/>
    <w:uiPriority w:val="0"/>
    <w:pPr>
      <w:jc w:val="left"/>
    </w:pPr>
    <w:rPr>
      <w:rFonts w:hint="eastAsia" w:ascii="宋体" w:hAnsi="宋体" w:eastAsia="宋体" w:cs="宋体"/>
      <w:b/>
      <w:bCs/>
      <w:color w:val="44546A"/>
      <w:kern w:val="0"/>
      <w:sz w:val="26"/>
      <w:szCs w:val="26"/>
      <w:u w:val="none"/>
      <w:lang w:val="en-US" w:eastAsia="zh-CN" w:bidi="ar"/>
    </w:rPr>
  </w:style>
  <w:style w:type="paragraph" w:customStyle="1" w:styleId="69">
    <w:name w:val="font14"/>
    <w:basedOn w:val="1"/>
    <w:qFormat/>
    <w:uiPriority w:val="0"/>
    <w:pPr>
      <w:jc w:val="left"/>
    </w:pPr>
    <w:rPr>
      <w:rFonts w:hint="eastAsia" w:ascii="宋体" w:hAnsi="宋体" w:eastAsia="宋体" w:cs="宋体"/>
      <w:color w:val="3F3F76"/>
      <w:kern w:val="0"/>
      <w:sz w:val="22"/>
      <w:szCs w:val="22"/>
      <w:u w:val="none"/>
      <w:lang w:val="en-US" w:eastAsia="zh-CN" w:bidi="ar"/>
    </w:rPr>
  </w:style>
  <w:style w:type="paragraph" w:customStyle="1" w:styleId="70">
    <w:name w:val="font16"/>
    <w:basedOn w:val="1"/>
    <w:qFormat/>
    <w:uiPriority w:val="0"/>
    <w:pPr>
      <w:jc w:val="left"/>
    </w:pPr>
    <w:rPr>
      <w:rFonts w:hint="eastAsia" w:ascii="宋体" w:hAnsi="宋体" w:eastAsia="宋体" w:cs="宋体"/>
      <w:b/>
      <w:bCs/>
      <w:color w:val="FA7D00"/>
      <w:kern w:val="0"/>
      <w:sz w:val="22"/>
      <w:szCs w:val="22"/>
      <w:u w:val="none"/>
      <w:lang w:val="en-US" w:eastAsia="zh-CN" w:bidi="ar"/>
    </w:rPr>
  </w:style>
  <w:style w:type="paragraph" w:customStyle="1" w:styleId="71">
    <w:name w:val="40% - 强调文字颜色 1"/>
    <w:basedOn w:val="1"/>
    <w:qFormat/>
    <w:uiPriority w:val="0"/>
    <w:pPr>
      <w:shd w:val="clear" w:fill="BDD7EE"/>
      <w:jc w:val="left"/>
    </w:pPr>
    <w:rPr>
      <w:rFonts w:hint="eastAsia" w:ascii="宋体" w:hAnsi="宋体" w:eastAsia="宋体" w:cs="宋体"/>
      <w:color w:val="000000"/>
      <w:kern w:val="0"/>
      <w:sz w:val="22"/>
      <w:szCs w:val="22"/>
      <w:u w:val="none"/>
      <w:lang w:val="en-US" w:eastAsia="zh-CN" w:bidi="ar"/>
    </w:rPr>
  </w:style>
  <w:style w:type="paragraph" w:customStyle="1" w:styleId="72">
    <w:name w:val="60% - 强调文字颜色 4"/>
    <w:basedOn w:val="1"/>
    <w:qFormat/>
    <w:uiPriority w:val="0"/>
    <w:pPr>
      <w:shd w:val="clear" w:fill="FFD966"/>
      <w:jc w:val="left"/>
    </w:pPr>
    <w:rPr>
      <w:rFonts w:hint="eastAsia" w:ascii="宋体" w:hAnsi="宋体" w:eastAsia="宋体" w:cs="宋体"/>
      <w:color w:val="FFFFFF"/>
      <w:kern w:val="0"/>
      <w:sz w:val="22"/>
      <w:szCs w:val="22"/>
      <w:u w:val="none"/>
      <w:lang w:val="en-US" w:eastAsia="zh-CN" w:bidi="ar"/>
    </w:rPr>
  </w:style>
  <w:style w:type="paragraph" w:customStyle="1" w:styleId="73">
    <w:name w:val="font20"/>
    <w:basedOn w:val="1"/>
    <w:qFormat/>
    <w:uiPriority w:val="0"/>
    <w:pPr>
      <w:jc w:val="left"/>
    </w:pPr>
    <w:rPr>
      <w:rFonts w:hint="eastAsia" w:ascii="宋体" w:hAnsi="宋体" w:eastAsia="宋体" w:cs="宋体"/>
      <w:color w:val="006100"/>
      <w:kern w:val="0"/>
      <w:sz w:val="22"/>
      <w:szCs w:val="22"/>
      <w:u w:val="none"/>
      <w:lang w:val="en-US" w:eastAsia="zh-CN" w:bidi="ar"/>
    </w:rPr>
  </w:style>
  <w:style w:type="paragraph" w:customStyle="1" w:styleId="74">
    <w:name w:val="千位分隔[0]"/>
    <w:basedOn w:val="1"/>
    <w:qFormat/>
    <w:uiPriority w:val="0"/>
    <w:pPr>
      <w:jc w:val="left"/>
    </w:pPr>
    <w:rPr>
      <w:kern w:val="0"/>
      <w:lang w:val="en-US" w:eastAsia="zh-CN" w:bidi="ar"/>
    </w:rPr>
  </w:style>
  <w:style w:type="paragraph" w:customStyle="1" w:styleId="75">
    <w:name w:val="40% - 强调文字颜色 4"/>
    <w:basedOn w:val="1"/>
    <w:qFormat/>
    <w:uiPriority w:val="0"/>
    <w:pPr>
      <w:shd w:val="clear" w:fill="FFE699"/>
      <w:jc w:val="left"/>
    </w:pPr>
    <w:rPr>
      <w:rFonts w:hint="eastAsia" w:ascii="宋体" w:hAnsi="宋体" w:eastAsia="宋体" w:cs="宋体"/>
      <w:color w:val="000000"/>
      <w:kern w:val="0"/>
      <w:sz w:val="22"/>
      <w:szCs w:val="22"/>
      <w:u w:val="none"/>
      <w:lang w:val="en-US" w:eastAsia="zh-CN" w:bidi="ar"/>
    </w:rPr>
  </w:style>
  <w:style w:type="paragraph" w:customStyle="1" w:styleId="76">
    <w:name w:val="注释"/>
    <w:basedOn w:val="1"/>
    <w:qFormat/>
    <w:uiPriority w:val="0"/>
    <w:pPr>
      <w:pBdr>
        <w:top w:val="single" w:color="B2B2B2" w:sz="4" w:space="0"/>
        <w:left w:val="single" w:color="B2B2B2" w:sz="4" w:space="0"/>
        <w:bottom w:val="single" w:color="B2B2B2" w:sz="4" w:space="0"/>
        <w:right w:val="single" w:color="B2B2B2" w:sz="4" w:space="0"/>
      </w:pBdr>
      <w:shd w:val="clear" w:fill="FFFFCC"/>
      <w:jc w:val="left"/>
    </w:pPr>
    <w:rPr>
      <w:kern w:val="0"/>
      <w:lang w:val="en-US" w:eastAsia="zh-CN" w:bidi="ar"/>
    </w:rPr>
  </w:style>
  <w:style w:type="paragraph" w:customStyle="1" w:styleId="77">
    <w:name w:val="标题 2 Char"/>
    <w:basedOn w:val="1"/>
    <w:qFormat/>
    <w:uiPriority w:val="0"/>
    <w:pPr>
      <w:pBdr>
        <w:top w:val="none" w:color="auto" w:sz="0" w:space="0"/>
        <w:left w:val="none" w:color="auto" w:sz="0" w:space="0"/>
        <w:bottom w:val="single" w:color="5B9BD5" w:sz="8" w:space="0"/>
        <w:right w:val="none" w:color="auto" w:sz="0" w:space="0"/>
      </w:pBdr>
      <w:jc w:val="left"/>
    </w:pPr>
    <w:rPr>
      <w:rFonts w:hint="eastAsia" w:ascii="宋体" w:hAnsi="宋体" w:eastAsia="宋体" w:cs="宋体"/>
      <w:b/>
      <w:bCs/>
      <w:color w:val="44546A"/>
      <w:kern w:val="0"/>
      <w:sz w:val="26"/>
      <w:szCs w:val="26"/>
      <w:u w:val="none"/>
      <w:lang w:val="en-US" w:eastAsia="zh-CN" w:bidi="ar"/>
    </w:rPr>
  </w:style>
  <w:style w:type="paragraph" w:customStyle="1" w:styleId="78">
    <w:name w:val="计算"/>
    <w:basedOn w:val="1"/>
    <w:qFormat/>
    <w:uiPriority w:val="0"/>
    <w:pPr>
      <w:pBdr>
        <w:top w:val="single" w:color="7F7F7F" w:sz="4" w:space="0"/>
        <w:left w:val="single" w:color="7F7F7F" w:sz="4" w:space="0"/>
        <w:bottom w:val="single" w:color="7F7F7F" w:sz="4" w:space="0"/>
        <w:right w:val="single" w:color="7F7F7F" w:sz="4" w:space="0"/>
      </w:pBdr>
      <w:shd w:val="clear" w:fill="F2F2F2"/>
      <w:jc w:val="left"/>
    </w:pPr>
    <w:rPr>
      <w:rFonts w:hint="eastAsia" w:ascii="宋体" w:hAnsi="宋体" w:eastAsia="宋体" w:cs="宋体"/>
      <w:b/>
      <w:bCs/>
      <w:color w:val="FA7D00"/>
      <w:kern w:val="0"/>
      <w:sz w:val="22"/>
      <w:szCs w:val="22"/>
      <w:u w:val="none"/>
      <w:lang w:val="en-US" w:eastAsia="zh-CN" w:bidi="ar"/>
    </w:rPr>
  </w:style>
  <w:style w:type="paragraph" w:customStyle="1" w:styleId="79">
    <w:name w:val="60% - 强调文字颜色 6"/>
    <w:basedOn w:val="1"/>
    <w:qFormat/>
    <w:uiPriority w:val="0"/>
    <w:pPr>
      <w:shd w:val="clear" w:fill="A9D08E"/>
      <w:jc w:val="left"/>
    </w:pPr>
    <w:rPr>
      <w:rFonts w:hint="eastAsia" w:ascii="宋体" w:hAnsi="宋体" w:eastAsia="宋体" w:cs="宋体"/>
      <w:color w:val="FFFFFF"/>
      <w:kern w:val="0"/>
      <w:sz w:val="22"/>
      <w:szCs w:val="22"/>
      <w:u w:val="none"/>
      <w:lang w:val="en-US" w:eastAsia="zh-CN" w:bidi="ar"/>
    </w:rPr>
  </w:style>
  <w:style w:type="paragraph" w:customStyle="1" w:styleId="80">
    <w:name w:val="好"/>
    <w:basedOn w:val="1"/>
    <w:qFormat/>
    <w:uiPriority w:val="0"/>
    <w:pPr>
      <w:shd w:val="clear" w:fill="C6EFCE"/>
      <w:jc w:val="left"/>
    </w:pPr>
    <w:rPr>
      <w:rFonts w:hint="eastAsia" w:ascii="宋体" w:hAnsi="宋体" w:eastAsia="宋体" w:cs="宋体"/>
      <w:color w:val="006100"/>
      <w:kern w:val="0"/>
      <w:sz w:val="22"/>
      <w:szCs w:val="22"/>
      <w:u w:val="none"/>
      <w:lang w:val="en-US" w:eastAsia="zh-CN" w:bidi="ar"/>
    </w:rPr>
  </w:style>
  <w:style w:type="paragraph" w:customStyle="1" w:styleId="81">
    <w:name w:val="差"/>
    <w:basedOn w:val="1"/>
    <w:qFormat/>
    <w:uiPriority w:val="0"/>
    <w:pPr>
      <w:shd w:val="clear" w:fill="FFC7CE"/>
      <w:jc w:val="left"/>
    </w:pPr>
    <w:rPr>
      <w:rFonts w:hint="eastAsia" w:ascii="宋体" w:hAnsi="宋体" w:eastAsia="宋体" w:cs="宋体"/>
      <w:color w:val="9C0006"/>
      <w:kern w:val="0"/>
      <w:sz w:val="22"/>
      <w:szCs w:val="22"/>
      <w:u w:val="none"/>
      <w:lang w:val="en-US" w:eastAsia="zh-CN" w:bidi="ar"/>
    </w:rPr>
  </w:style>
  <w:style w:type="paragraph" w:customStyle="1" w:styleId="82">
    <w:name w:val="适中"/>
    <w:basedOn w:val="1"/>
    <w:qFormat/>
    <w:uiPriority w:val="0"/>
    <w:pPr>
      <w:shd w:val="clear" w:fill="FFEB9C"/>
      <w:jc w:val="left"/>
    </w:pPr>
    <w:rPr>
      <w:rFonts w:hint="eastAsia" w:ascii="宋体" w:hAnsi="宋体" w:eastAsia="宋体" w:cs="宋体"/>
      <w:color w:val="9C6500"/>
      <w:kern w:val="0"/>
      <w:sz w:val="22"/>
      <w:szCs w:val="22"/>
      <w:u w:val="none"/>
      <w:lang w:val="en-US" w:eastAsia="zh-CN" w:bidi="ar"/>
    </w:rPr>
  </w:style>
  <w:style w:type="paragraph" w:customStyle="1" w:styleId="83">
    <w:name w:val="强调文字颜色 1"/>
    <w:basedOn w:val="1"/>
    <w:qFormat/>
    <w:uiPriority w:val="0"/>
    <w:pPr>
      <w:shd w:val="clear" w:fill="5B9BD5"/>
      <w:jc w:val="left"/>
    </w:pPr>
    <w:rPr>
      <w:rFonts w:hint="eastAsia" w:ascii="宋体" w:hAnsi="宋体" w:eastAsia="宋体" w:cs="宋体"/>
      <w:color w:val="FFFFFF"/>
      <w:kern w:val="0"/>
      <w:sz w:val="22"/>
      <w:szCs w:val="22"/>
      <w:u w:val="none"/>
      <w:lang w:val="en-US" w:eastAsia="zh-CN" w:bidi="ar"/>
    </w:rPr>
  </w:style>
  <w:style w:type="paragraph" w:customStyle="1" w:styleId="84">
    <w:name w:val="20% - 强调文字颜色 1"/>
    <w:basedOn w:val="1"/>
    <w:qFormat/>
    <w:uiPriority w:val="0"/>
    <w:pPr>
      <w:shd w:val="clear" w:fill="DDEBF7"/>
      <w:jc w:val="left"/>
    </w:pPr>
    <w:rPr>
      <w:rFonts w:hint="eastAsia" w:ascii="宋体" w:hAnsi="宋体" w:eastAsia="宋体" w:cs="宋体"/>
      <w:color w:val="000000"/>
      <w:kern w:val="0"/>
      <w:sz w:val="22"/>
      <w:szCs w:val="22"/>
      <w:u w:val="none"/>
      <w:lang w:val="en-US" w:eastAsia="zh-CN" w:bidi="ar"/>
    </w:rPr>
  </w:style>
  <w:style w:type="paragraph" w:customStyle="1" w:styleId="85">
    <w:name w:val="40% - 强调文字颜色 2"/>
    <w:basedOn w:val="1"/>
    <w:qFormat/>
    <w:uiPriority w:val="0"/>
    <w:pPr>
      <w:shd w:val="clear" w:fill="F8CBAD"/>
      <w:jc w:val="left"/>
    </w:pPr>
    <w:rPr>
      <w:rFonts w:hint="eastAsia" w:ascii="宋体" w:hAnsi="宋体" w:eastAsia="宋体" w:cs="宋体"/>
      <w:color w:val="000000"/>
      <w:kern w:val="0"/>
      <w:sz w:val="22"/>
      <w:szCs w:val="22"/>
      <w:u w:val="none"/>
      <w:lang w:val="en-US" w:eastAsia="zh-CN" w:bidi="ar"/>
    </w:rPr>
  </w:style>
  <w:style w:type="paragraph" w:customStyle="1" w:styleId="86">
    <w:name w:val="60% - 强调文字颜色 1"/>
    <w:basedOn w:val="1"/>
    <w:qFormat/>
    <w:uiPriority w:val="0"/>
    <w:pPr>
      <w:shd w:val="clear" w:fill="9BC2E6"/>
      <w:jc w:val="left"/>
    </w:pPr>
    <w:rPr>
      <w:rFonts w:hint="eastAsia" w:ascii="宋体" w:hAnsi="宋体" w:eastAsia="宋体" w:cs="宋体"/>
      <w:color w:val="FFFFFF"/>
      <w:kern w:val="0"/>
      <w:sz w:val="22"/>
      <w:szCs w:val="22"/>
      <w:u w:val="none"/>
      <w:lang w:val="en-US" w:eastAsia="zh-CN" w:bidi="ar"/>
    </w:rPr>
  </w:style>
  <w:style w:type="paragraph" w:customStyle="1" w:styleId="87">
    <w:name w:val="强调文字颜色 3"/>
    <w:basedOn w:val="1"/>
    <w:qFormat/>
    <w:uiPriority w:val="0"/>
    <w:pPr>
      <w:shd w:val="clear" w:fill="A5A5A5"/>
      <w:jc w:val="left"/>
    </w:pPr>
    <w:rPr>
      <w:rFonts w:hint="eastAsia" w:ascii="宋体" w:hAnsi="宋体" w:eastAsia="宋体" w:cs="宋体"/>
      <w:color w:val="FFFFFF"/>
      <w:kern w:val="0"/>
      <w:sz w:val="22"/>
      <w:szCs w:val="22"/>
      <w:u w:val="none"/>
      <w:lang w:val="en-US" w:eastAsia="zh-CN" w:bidi="ar"/>
    </w:rPr>
  </w:style>
  <w:style w:type="paragraph" w:customStyle="1" w:styleId="88">
    <w:name w:val="20% - 强调文字颜色 3"/>
    <w:basedOn w:val="1"/>
    <w:qFormat/>
    <w:uiPriority w:val="0"/>
    <w:pPr>
      <w:shd w:val="clear" w:fill="EDEDED"/>
      <w:jc w:val="left"/>
    </w:pPr>
    <w:rPr>
      <w:rFonts w:hint="eastAsia" w:ascii="宋体" w:hAnsi="宋体" w:eastAsia="宋体" w:cs="宋体"/>
      <w:color w:val="000000"/>
      <w:kern w:val="0"/>
      <w:sz w:val="22"/>
      <w:szCs w:val="22"/>
      <w:u w:val="none"/>
      <w:lang w:val="en-US" w:eastAsia="zh-CN" w:bidi="ar"/>
    </w:rPr>
  </w:style>
  <w:style w:type="paragraph" w:customStyle="1" w:styleId="89">
    <w:name w:val="60% - 强调文字颜色 3"/>
    <w:basedOn w:val="1"/>
    <w:qFormat/>
    <w:uiPriority w:val="0"/>
    <w:pPr>
      <w:shd w:val="clear" w:fill="C9C9C9"/>
      <w:jc w:val="left"/>
    </w:pPr>
    <w:rPr>
      <w:rFonts w:hint="eastAsia" w:ascii="宋体" w:hAnsi="宋体" w:eastAsia="宋体" w:cs="宋体"/>
      <w:color w:val="FFFFFF"/>
      <w:kern w:val="0"/>
      <w:sz w:val="22"/>
      <w:szCs w:val="22"/>
      <w:u w:val="none"/>
      <w:lang w:val="en-US" w:eastAsia="zh-CN" w:bidi="ar"/>
    </w:rPr>
  </w:style>
  <w:style w:type="paragraph" w:customStyle="1" w:styleId="90">
    <w:name w:val="强调文字颜色 4"/>
    <w:basedOn w:val="1"/>
    <w:qFormat/>
    <w:uiPriority w:val="0"/>
    <w:pPr>
      <w:shd w:val="clear" w:fill="FFC000"/>
      <w:jc w:val="left"/>
    </w:pPr>
    <w:rPr>
      <w:rFonts w:hint="eastAsia" w:ascii="宋体" w:hAnsi="宋体" w:eastAsia="宋体" w:cs="宋体"/>
      <w:color w:val="FFFFFF"/>
      <w:kern w:val="0"/>
      <w:sz w:val="22"/>
      <w:szCs w:val="22"/>
      <w:u w:val="none"/>
      <w:lang w:val="en-US" w:eastAsia="zh-CN" w:bidi="ar"/>
    </w:rPr>
  </w:style>
  <w:style w:type="paragraph" w:customStyle="1" w:styleId="91">
    <w:name w:val="20% - 强调文字颜色 4"/>
    <w:basedOn w:val="1"/>
    <w:qFormat/>
    <w:uiPriority w:val="0"/>
    <w:pPr>
      <w:shd w:val="clear" w:fill="FFF2CC"/>
      <w:jc w:val="left"/>
    </w:pPr>
    <w:rPr>
      <w:rFonts w:hint="eastAsia" w:ascii="宋体" w:hAnsi="宋体" w:eastAsia="宋体" w:cs="宋体"/>
      <w:color w:val="000000"/>
      <w:kern w:val="0"/>
      <w:sz w:val="22"/>
      <w:szCs w:val="22"/>
      <w:u w:val="none"/>
      <w:lang w:val="en-US" w:eastAsia="zh-CN" w:bidi="ar"/>
    </w:rPr>
  </w:style>
  <w:style w:type="paragraph" w:customStyle="1" w:styleId="92">
    <w:name w:val="40% - 强调文字颜色 5"/>
    <w:basedOn w:val="1"/>
    <w:qFormat/>
    <w:uiPriority w:val="0"/>
    <w:pPr>
      <w:shd w:val="clear" w:fill="B4C6E7"/>
      <w:jc w:val="left"/>
    </w:pPr>
    <w:rPr>
      <w:rFonts w:hint="eastAsia" w:ascii="宋体" w:hAnsi="宋体" w:eastAsia="宋体" w:cs="宋体"/>
      <w:color w:val="000000"/>
      <w:kern w:val="0"/>
      <w:sz w:val="22"/>
      <w:szCs w:val="22"/>
      <w:u w:val="none"/>
      <w:lang w:val="en-US" w:eastAsia="zh-CN" w:bidi="ar"/>
    </w:rPr>
  </w:style>
  <w:style w:type="paragraph" w:customStyle="1" w:styleId="93">
    <w:name w:val="xl71"/>
    <w:basedOn w:val="1"/>
    <w:qFormat/>
    <w:uiPriority w:val="0"/>
    <w:pPr>
      <w:pBdr>
        <w:top w:val="single" w:color="auto" w:sz="4" w:space="0"/>
        <w:left w:val="single" w:color="auto" w:sz="4" w:space="0"/>
        <w:bottom w:val="single" w:color="auto" w:sz="4" w:space="0"/>
        <w:right w:val="single" w:color="auto" w:sz="4" w:space="0"/>
      </w:pBdr>
      <w:jc w:val="center"/>
    </w:pPr>
    <w:rPr>
      <w:rFonts w:hint="eastAsia" w:ascii="黑体" w:hAnsi="宋体" w:eastAsia="黑体" w:cs="黑体"/>
      <w:kern w:val="0"/>
      <w:sz w:val="24"/>
      <w:szCs w:val="24"/>
      <w:lang w:val="en-US" w:eastAsia="zh-CN" w:bidi="ar"/>
    </w:rPr>
  </w:style>
  <w:style w:type="paragraph" w:customStyle="1" w:styleId="94">
    <w:name w:val="xl81"/>
    <w:basedOn w:val="1"/>
    <w:qFormat/>
    <w:uiPriority w:val="0"/>
    <w:pPr>
      <w:pBdr>
        <w:bottom w:val="single" w:color="000000" w:sz="8" w:space="0"/>
        <w:right w:val="single" w:color="000000" w:sz="8" w:space="0"/>
      </w:pBdr>
      <w:jc w:val="left"/>
    </w:pPr>
    <w:rPr>
      <w:rFonts w:hint="default" w:ascii="仿宋_GB2312" w:eastAsia="仿宋_GB2312" w:cs="仿宋_GB2312"/>
      <w:kern w:val="0"/>
      <w:sz w:val="21"/>
      <w:szCs w:val="21"/>
      <w:lang w:val="en-US" w:eastAsia="zh-CN" w:bidi="ar"/>
    </w:rPr>
  </w:style>
  <w:style w:type="paragraph" w:customStyle="1" w:styleId="95">
    <w:name w:val="强调文字颜色 6"/>
    <w:basedOn w:val="1"/>
    <w:qFormat/>
    <w:uiPriority w:val="0"/>
    <w:pPr>
      <w:shd w:val="clear" w:fill="70AD47"/>
      <w:jc w:val="left"/>
    </w:pPr>
    <w:rPr>
      <w:rFonts w:hint="eastAsia" w:ascii="宋体" w:hAnsi="宋体" w:eastAsia="宋体" w:cs="宋体"/>
      <w:color w:val="FFFFFF"/>
      <w:kern w:val="0"/>
      <w:sz w:val="22"/>
      <w:szCs w:val="22"/>
      <w:u w:val="none"/>
      <w:lang w:val="en-US" w:eastAsia="zh-CN" w:bidi="ar"/>
    </w:rPr>
  </w:style>
  <w:style w:type="paragraph" w:customStyle="1" w:styleId="96">
    <w:name w:val="20% - 强调文字颜色 6"/>
    <w:basedOn w:val="1"/>
    <w:qFormat/>
    <w:uiPriority w:val="0"/>
    <w:pPr>
      <w:shd w:val="clear" w:fill="E2EFDA"/>
      <w:jc w:val="left"/>
    </w:pPr>
    <w:rPr>
      <w:rFonts w:hint="eastAsia" w:ascii="宋体" w:hAnsi="宋体" w:eastAsia="宋体" w:cs="宋体"/>
      <w:color w:val="000000"/>
      <w:kern w:val="0"/>
      <w:sz w:val="22"/>
      <w:szCs w:val="22"/>
      <w:u w:val="none"/>
      <w:lang w:val="en-US" w:eastAsia="zh-CN" w:bidi="ar"/>
    </w:rPr>
  </w:style>
  <w:style w:type="paragraph" w:customStyle="1" w:styleId="97">
    <w:name w:val="40% - 强调文字颜色 6"/>
    <w:basedOn w:val="1"/>
    <w:qFormat/>
    <w:uiPriority w:val="0"/>
    <w:pPr>
      <w:shd w:val="clear" w:fill="C6E0B4"/>
      <w:jc w:val="left"/>
    </w:pPr>
    <w:rPr>
      <w:rFonts w:hint="eastAsia" w:ascii="宋体" w:hAnsi="宋体" w:eastAsia="宋体" w:cs="宋体"/>
      <w:color w:val="000000"/>
      <w:kern w:val="0"/>
      <w:sz w:val="22"/>
      <w:szCs w:val="22"/>
      <w:u w:val="none"/>
      <w:lang w:val="en-US" w:eastAsia="zh-CN" w:bidi="ar"/>
    </w:rPr>
  </w:style>
  <w:style w:type="paragraph" w:customStyle="1" w:styleId="98">
    <w:name w:val="xl67"/>
    <w:basedOn w:val="1"/>
    <w:qFormat/>
    <w:uiPriority w:val="0"/>
    <w:pPr>
      <w:jc w:val="left"/>
    </w:pPr>
    <w:rPr>
      <w:rFonts w:hint="eastAsia" w:ascii="黑体" w:hAnsi="宋体" w:eastAsia="黑体" w:cs="黑体"/>
      <w:kern w:val="0"/>
      <w:sz w:val="24"/>
      <w:szCs w:val="24"/>
      <w:lang w:val="en-US" w:eastAsia="zh-CN" w:bidi="ar"/>
    </w:rPr>
  </w:style>
  <w:style w:type="paragraph" w:customStyle="1" w:styleId="99">
    <w:name w:val="xl75"/>
    <w:basedOn w:val="1"/>
    <w:qFormat/>
    <w:uiPriority w:val="0"/>
    <w:pPr>
      <w:pBdr>
        <w:top w:val="single" w:color="000000" w:sz="8" w:space="0"/>
        <w:left w:val="single" w:color="000000" w:sz="8" w:space="0"/>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100">
    <w:name w:val="xl68"/>
    <w:basedOn w:val="1"/>
    <w:qFormat/>
    <w:uiPriority w:val="0"/>
    <w:pPr>
      <w:jc w:val="center"/>
    </w:pPr>
    <w:rPr>
      <w:rFonts w:hint="default" w:ascii="方正小标宋简体" w:hAnsi="方正小标宋简体" w:eastAsia="方正小标宋简体" w:cs="方正小标宋简体"/>
      <w:kern w:val="0"/>
      <w:sz w:val="44"/>
      <w:szCs w:val="44"/>
      <w:lang w:val="en-US" w:eastAsia="zh-CN" w:bidi="ar"/>
    </w:rPr>
  </w:style>
  <w:style w:type="paragraph" w:customStyle="1" w:styleId="101">
    <w:name w:val="xl69"/>
    <w:basedOn w:val="1"/>
    <w:qFormat/>
    <w:uiPriority w:val="0"/>
    <w:pPr>
      <w:jc w:val="center"/>
    </w:pPr>
    <w:rPr>
      <w:rFonts w:hint="eastAsia" w:ascii="黑体" w:hAnsi="宋体" w:eastAsia="黑体" w:cs="黑体"/>
      <w:kern w:val="0"/>
      <w:lang w:val="en-US" w:eastAsia="zh-CN" w:bidi="ar"/>
    </w:rPr>
  </w:style>
  <w:style w:type="paragraph" w:customStyle="1" w:styleId="102">
    <w:name w:val="xl73"/>
    <w:basedOn w:val="1"/>
    <w:qFormat/>
    <w:uiPriority w:val="0"/>
    <w:pPr>
      <w:pBdr>
        <w:top w:val="single" w:color="auto" w:sz="4" w:space="0"/>
        <w:bottom w:val="single" w:color="auto" w:sz="4" w:space="0"/>
      </w:pBdr>
      <w:jc w:val="center"/>
    </w:pPr>
    <w:rPr>
      <w:rFonts w:hint="eastAsia" w:ascii="黑体" w:hAnsi="宋体" w:eastAsia="黑体" w:cs="黑体"/>
      <w:kern w:val="0"/>
      <w:sz w:val="24"/>
      <w:szCs w:val="24"/>
      <w:lang w:val="en-US" w:eastAsia="zh-CN" w:bidi="ar"/>
    </w:rPr>
  </w:style>
  <w:style w:type="paragraph" w:customStyle="1" w:styleId="103">
    <w:name w:val="xl76"/>
    <w:basedOn w:val="1"/>
    <w:qFormat/>
    <w:uiPriority w:val="0"/>
    <w:pPr>
      <w:pBdr>
        <w:top w:val="single" w:color="000000" w:sz="8" w:space="0"/>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paragraph" w:customStyle="1" w:styleId="104">
    <w:name w:val="xl77"/>
    <w:basedOn w:val="1"/>
    <w:qFormat/>
    <w:uiPriority w:val="0"/>
    <w:pPr>
      <w:pBdr>
        <w:top w:val="single" w:color="000000" w:sz="8" w:space="0"/>
        <w:bottom w:val="single" w:color="000000" w:sz="8" w:space="0"/>
        <w:right w:val="single" w:color="000000" w:sz="8" w:space="0"/>
      </w:pBdr>
      <w:jc w:val="left"/>
    </w:pPr>
    <w:rPr>
      <w:rFonts w:hint="default" w:ascii="仿宋_GB2312" w:eastAsia="仿宋_GB2312" w:cs="仿宋_GB2312"/>
      <w:kern w:val="0"/>
      <w:sz w:val="21"/>
      <w:szCs w:val="21"/>
      <w:lang w:val="en-US" w:eastAsia="zh-CN" w:bidi="ar"/>
    </w:rPr>
  </w:style>
  <w:style w:type="paragraph" w:customStyle="1" w:styleId="105">
    <w:name w:val="xl82"/>
    <w:basedOn w:val="1"/>
    <w:qFormat/>
    <w:uiPriority w:val="0"/>
    <w:pPr>
      <w:pBdr>
        <w:bottom w:val="single" w:color="000000" w:sz="8" w:space="0"/>
        <w:right w:val="single" w:color="000000" w:sz="8" w:space="0"/>
      </w:pBdr>
      <w:jc w:val="center"/>
    </w:pPr>
    <w:rPr>
      <w:rFonts w:hint="default" w:ascii="仿宋_GB2312" w:eastAsia="仿宋_GB2312" w:cs="仿宋_GB2312"/>
      <w:kern w:val="0"/>
      <w:sz w:val="21"/>
      <w:szCs w:val="21"/>
      <w:lang w:val="en-US" w:eastAsia="zh-CN" w:bidi="ar"/>
    </w:rPr>
  </w:style>
  <w:style w:type="table" w:customStyle="1" w:styleId="106">
    <w:name w:val="标题 31"/>
    <w:basedOn w:val="10"/>
    <w:qFormat/>
    <w:uiPriority w:val="0"/>
    <w:rPr>
      <w:rFonts w:hint="eastAsia" w:ascii="宋体" w:hAnsi="宋体" w:eastAsia="宋体" w:cs="宋体"/>
      <w:b/>
      <w:bCs/>
      <w:color w:val="44546A"/>
      <w:sz w:val="22"/>
      <w:szCs w:val="22"/>
      <w:u w:val="none"/>
    </w:rPr>
    <w:tblPr>
      <w:tblBorders>
        <w:bottom w:val="single" w:color="ACCCEA" w:sz="8" w:space="0"/>
      </w:tblBorders>
    </w:tblPr>
    <w:tcPr>
      <w:tcBorders>
        <w:top w:val="nil"/>
        <w:left w:val="nil"/>
        <w:bottom w:val="single" w:color="ACCCEA" w:sz="8" w:space="0"/>
        <w:right w:val="nil"/>
      </w:tcBorders>
    </w:tcPr>
  </w:style>
  <w:style w:type="table" w:customStyle="1" w:styleId="107">
    <w:name w:val="20% - 强调文字颜色 51"/>
    <w:basedOn w:val="10"/>
    <w:qFormat/>
    <w:uiPriority w:val="0"/>
    <w:rPr>
      <w:rFonts w:hint="eastAsia" w:ascii="宋体" w:hAnsi="宋体" w:eastAsia="宋体" w:cs="宋体"/>
      <w:color w:val="000000"/>
      <w:sz w:val="22"/>
      <w:szCs w:val="22"/>
      <w:u w:val="none"/>
    </w:rPr>
    <w:tcPr>
      <w:shd w:val="clear" w:color="auto" w:fill="D9E1F2"/>
    </w:tcPr>
  </w:style>
  <w:style w:type="table" w:customStyle="1" w:styleId="108">
    <w:name w:val="警告文本1"/>
    <w:basedOn w:val="10"/>
    <w:qFormat/>
    <w:uiPriority w:val="0"/>
    <w:rPr>
      <w:rFonts w:hint="eastAsia" w:ascii="宋体" w:hAnsi="宋体" w:eastAsia="宋体" w:cs="宋体"/>
      <w:color w:val="FF0000"/>
      <w:sz w:val="22"/>
      <w:szCs w:val="22"/>
      <w:u w:val="none"/>
    </w:rPr>
  </w:style>
  <w:style w:type="table" w:customStyle="1" w:styleId="109">
    <w:name w:val="40% - 强调文字颜色 11"/>
    <w:basedOn w:val="10"/>
    <w:qFormat/>
    <w:uiPriority w:val="0"/>
    <w:rPr>
      <w:rFonts w:hint="eastAsia" w:ascii="宋体" w:hAnsi="宋体" w:eastAsia="宋体" w:cs="宋体"/>
      <w:color w:val="000000"/>
      <w:sz w:val="22"/>
      <w:szCs w:val="22"/>
      <w:u w:val="none"/>
    </w:rPr>
    <w:tcPr>
      <w:shd w:val="clear" w:color="auto" w:fill="BDD7EE"/>
    </w:tcPr>
  </w:style>
  <w:style w:type="table" w:customStyle="1" w:styleId="110">
    <w:name w:val="强调文字颜色 21"/>
    <w:basedOn w:val="10"/>
    <w:qFormat/>
    <w:uiPriority w:val="0"/>
    <w:rPr>
      <w:rFonts w:hint="eastAsia" w:ascii="宋体" w:hAnsi="宋体" w:eastAsia="宋体" w:cs="宋体"/>
      <w:color w:val="FFFFFF"/>
      <w:sz w:val="22"/>
      <w:szCs w:val="22"/>
      <w:u w:val="none"/>
    </w:rPr>
    <w:tcPr>
      <w:shd w:val="clear" w:color="auto" w:fill="ED7D31"/>
    </w:tcPr>
  </w:style>
  <w:style w:type="table" w:customStyle="1" w:styleId="111">
    <w:name w:val="常规1"/>
    <w:basedOn w:val="10"/>
    <w:qFormat/>
    <w:uiPriority w:val="0"/>
    <w:pPr>
      <w:textAlignment w:val="center"/>
    </w:pPr>
    <w:rPr>
      <w:rFonts w:hint="eastAsia" w:ascii="宋体" w:hAnsi="宋体" w:eastAsia="宋体" w:cs="宋体"/>
      <w:color w:val="000000"/>
      <w:sz w:val="22"/>
      <w:szCs w:val="22"/>
      <w:u w:val="none"/>
    </w:rPr>
    <w:tcPr>
      <w:tcBorders>
        <w:top w:val="nil"/>
        <w:left w:val="nil"/>
        <w:bottom w:val="nil"/>
        <w:right w:val="nil"/>
      </w:tcBorders>
      <w:noWrap/>
      <w:vAlign w:val="center"/>
    </w:tcPr>
  </w:style>
  <w:style w:type="table" w:customStyle="1" w:styleId="112">
    <w:name w:val="标题 21"/>
    <w:basedOn w:val="10"/>
    <w:qFormat/>
    <w:uiPriority w:val="0"/>
    <w:rPr>
      <w:rFonts w:hint="eastAsia" w:ascii="宋体" w:hAnsi="宋体" w:eastAsia="宋体" w:cs="宋体"/>
      <w:b/>
      <w:bCs/>
      <w:color w:val="44546A"/>
      <w:sz w:val="26"/>
      <w:szCs w:val="26"/>
      <w:u w:val="none"/>
    </w:rPr>
    <w:tblPr>
      <w:tblBorders>
        <w:bottom w:val="single" w:color="5B9BD5" w:sz="8" w:space="0"/>
      </w:tblBorders>
    </w:tblPr>
    <w:tcPr>
      <w:tcBorders>
        <w:top w:val="nil"/>
        <w:left w:val="nil"/>
        <w:bottom w:val="single" w:color="5B9BD5" w:sz="8" w:space="0"/>
        <w:right w:val="nil"/>
      </w:tcBorders>
    </w:tcPr>
  </w:style>
  <w:style w:type="table" w:customStyle="1" w:styleId="113">
    <w:name w:val="百分比1"/>
    <w:basedOn w:val="10"/>
    <w:qFormat/>
    <w:uiPriority w:val="0"/>
  </w:style>
  <w:style w:type="table" w:customStyle="1" w:styleId="114">
    <w:name w:val="汇总1"/>
    <w:basedOn w:val="10"/>
    <w:qFormat/>
    <w:uiPriority w:val="0"/>
    <w:rPr>
      <w:rFonts w:hint="eastAsia" w:ascii="宋体" w:hAnsi="宋体" w:eastAsia="宋体" w:cs="宋体"/>
      <w:b/>
      <w:bCs/>
      <w:color w:val="000000"/>
      <w:sz w:val="22"/>
      <w:szCs w:val="22"/>
      <w:u w:val="none"/>
    </w:rPr>
    <w:tblPr>
      <w:tblBorders>
        <w:top w:val="single" w:color="5B9BD5" w:sz="4" w:space="0"/>
        <w:bottom w:val="double" w:color="5B9BD5" w:sz="4" w:space="0"/>
      </w:tblBorders>
    </w:tblPr>
    <w:tcPr>
      <w:tcBorders>
        <w:top w:val="single" w:color="5B9BD5" w:sz="4" w:space="0"/>
        <w:left w:val="nil"/>
        <w:bottom w:val="double" w:color="5B9BD5" w:sz="4" w:space="0"/>
        <w:right w:val="nil"/>
      </w:tcBorders>
    </w:tcPr>
  </w:style>
  <w:style w:type="table" w:customStyle="1" w:styleId="115">
    <w:name w:val="标题 41"/>
    <w:basedOn w:val="10"/>
    <w:qFormat/>
    <w:uiPriority w:val="0"/>
    <w:rPr>
      <w:rFonts w:hint="eastAsia" w:ascii="宋体" w:hAnsi="宋体" w:eastAsia="宋体" w:cs="宋体"/>
      <w:b/>
      <w:bCs/>
      <w:color w:val="44546A"/>
      <w:sz w:val="22"/>
      <w:szCs w:val="22"/>
      <w:u w:val="none"/>
    </w:rPr>
  </w:style>
  <w:style w:type="table" w:customStyle="1" w:styleId="116">
    <w:name w:val="40% - 强调文字颜色 31"/>
    <w:basedOn w:val="10"/>
    <w:qFormat/>
    <w:uiPriority w:val="0"/>
    <w:rPr>
      <w:rFonts w:hint="eastAsia" w:ascii="宋体" w:hAnsi="宋体" w:eastAsia="宋体" w:cs="宋体"/>
      <w:color w:val="000000"/>
      <w:sz w:val="22"/>
      <w:szCs w:val="22"/>
      <w:u w:val="none"/>
    </w:rPr>
    <w:tcPr>
      <w:shd w:val="clear" w:color="auto" w:fill="DBDBDB"/>
    </w:tcPr>
  </w:style>
  <w:style w:type="table" w:customStyle="1" w:styleId="117">
    <w:name w:val="千位分隔1"/>
    <w:basedOn w:val="10"/>
    <w:qFormat/>
    <w:uiPriority w:val="0"/>
  </w:style>
  <w:style w:type="table" w:customStyle="1" w:styleId="118">
    <w:name w:val="检查单元格1"/>
    <w:basedOn w:val="10"/>
    <w:qFormat/>
    <w:uiPriority w:val="0"/>
    <w:rPr>
      <w:rFonts w:hint="eastAsia" w:ascii="宋体" w:hAnsi="宋体" w:eastAsia="宋体" w:cs="宋体"/>
      <w:b/>
      <w:bCs/>
      <w:color w:val="FFFFFF"/>
      <w:sz w:val="22"/>
      <w:szCs w:val="22"/>
      <w:u w:val="none"/>
    </w:rPr>
    <w:tblPr>
      <w:tblBorders>
        <w:top w:val="double" w:color="3F3F3F" w:sz="4" w:space="0"/>
        <w:left w:val="double" w:color="3F3F3F" w:sz="4" w:space="0"/>
        <w:bottom w:val="double" w:color="3F3F3F" w:sz="4" w:space="0"/>
        <w:right w:val="double" w:color="3F3F3F" w:sz="4" w:space="0"/>
      </w:tblBorders>
    </w:tblPr>
    <w:tcPr>
      <w:tcBorders>
        <w:top w:val="double" w:color="3F3F3F" w:sz="4" w:space="0"/>
        <w:left w:val="double" w:color="3F3F3F" w:sz="4" w:space="0"/>
        <w:bottom w:val="double" w:color="3F3F3F" w:sz="4" w:space="0"/>
        <w:right w:val="double" w:color="3F3F3F" w:sz="4" w:space="0"/>
      </w:tcBorders>
      <w:shd w:val="clear" w:color="auto" w:fill="A5A5A5"/>
    </w:tcPr>
  </w:style>
  <w:style w:type="table" w:customStyle="1" w:styleId="119">
    <w:name w:val="超链接1"/>
    <w:basedOn w:val="10"/>
    <w:qFormat/>
    <w:uiPriority w:val="0"/>
    <w:rPr>
      <w:rFonts w:hint="eastAsia" w:ascii="宋体" w:hAnsi="宋体" w:eastAsia="宋体" w:cs="宋体"/>
      <w:color w:val="0000FF"/>
      <w:sz w:val="22"/>
      <w:szCs w:val="22"/>
      <w:u w:val="single"/>
    </w:rPr>
  </w:style>
  <w:style w:type="table" w:customStyle="1" w:styleId="120">
    <w:name w:val="标题 11"/>
    <w:basedOn w:val="10"/>
    <w:qFormat/>
    <w:uiPriority w:val="0"/>
    <w:rPr>
      <w:rFonts w:hint="eastAsia" w:ascii="宋体" w:hAnsi="宋体" w:eastAsia="宋体" w:cs="宋体"/>
      <w:b/>
      <w:bCs/>
      <w:color w:val="44546A"/>
      <w:sz w:val="30"/>
      <w:szCs w:val="30"/>
      <w:u w:val="none"/>
    </w:rPr>
    <w:tblPr>
      <w:tblBorders>
        <w:bottom w:val="single" w:color="5B9BD5" w:sz="8" w:space="0"/>
      </w:tblBorders>
    </w:tblPr>
    <w:tcPr>
      <w:tcBorders>
        <w:top w:val="nil"/>
        <w:left w:val="nil"/>
        <w:bottom w:val="single" w:color="5B9BD5" w:sz="8" w:space="0"/>
        <w:right w:val="nil"/>
      </w:tcBorders>
    </w:tcPr>
  </w:style>
  <w:style w:type="table" w:customStyle="1" w:styleId="121">
    <w:name w:val="解释性文本1"/>
    <w:basedOn w:val="10"/>
    <w:qFormat/>
    <w:uiPriority w:val="0"/>
    <w:rPr>
      <w:rFonts w:hint="eastAsia" w:ascii="宋体" w:hAnsi="宋体" w:eastAsia="宋体" w:cs="宋体"/>
      <w:i/>
      <w:iCs/>
      <w:color w:val="7F7F7F"/>
      <w:sz w:val="22"/>
      <w:szCs w:val="22"/>
      <w:u w:val="none"/>
    </w:rPr>
  </w:style>
  <w:style w:type="table" w:customStyle="1" w:styleId="122">
    <w:name w:val="货币1"/>
    <w:basedOn w:val="10"/>
    <w:qFormat/>
    <w:uiPriority w:val="0"/>
  </w:style>
  <w:style w:type="table" w:customStyle="1" w:styleId="123">
    <w:name w:val="输出1"/>
    <w:basedOn w:val="10"/>
    <w:qFormat/>
    <w:uiPriority w:val="0"/>
    <w:rPr>
      <w:rFonts w:hint="eastAsia" w:ascii="宋体" w:hAnsi="宋体" w:eastAsia="宋体" w:cs="宋体"/>
      <w:b/>
      <w:bCs/>
      <w:color w:val="3F3F3F"/>
      <w:sz w:val="22"/>
      <w:szCs w:val="22"/>
      <w:u w:val="none"/>
    </w:rPr>
    <w:tblPr>
      <w:tblBorders>
        <w:top w:val="single" w:color="3F3F3F" w:sz="4" w:space="0"/>
        <w:left w:val="single" w:color="3F3F3F" w:sz="4" w:space="0"/>
        <w:bottom w:val="single" w:color="3F3F3F" w:sz="4" w:space="0"/>
        <w:right w:val="single" w:color="3F3F3F" w:sz="4" w:space="0"/>
      </w:tblBorders>
    </w:tblPr>
    <w:tcPr>
      <w:tcBorders>
        <w:top w:val="single" w:color="3F3F3F" w:sz="4" w:space="0"/>
        <w:left w:val="single" w:color="3F3F3F" w:sz="4" w:space="0"/>
        <w:bottom w:val="single" w:color="3F3F3F" w:sz="4" w:space="0"/>
        <w:right w:val="single" w:color="3F3F3F" w:sz="4" w:space="0"/>
      </w:tcBorders>
      <w:shd w:val="clear" w:color="auto" w:fill="F2F2F2"/>
    </w:tcPr>
  </w:style>
  <w:style w:type="table" w:customStyle="1" w:styleId="124">
    <w:name w:val="20% - 强调文字颜色 21"/>
    <w:basedOn w:val="10"/>
    <w:qFormat/>
    <w:uiPriority w:val="0"/>
    <w:rPr>
      <w:rFonts w:hint="eastAsia" w:ascii="宋体" w:hAnsi="宋体" w:eastAsia="宋体" w:cs="宋体"/>
      <w:color w:val="000000"/>
      <w:sz w:val="22"/>
      <w:szCs w:val="22"/>
      <w:u w:val="none"/>
    </w:rPr>
    <w:tcPr>
      <w:shd w:val="clear" w:color="auto" w:fill="FCE4D6"/>
    </w:tcPr>
  </w:style>
  <w:style w:type="table" w:customStyle="1" w:styleId="125">
    <w:name w:val="已访问的超链接1"/>
    <w:basedOn w:val="10"/>
    <w:qFormat/>
    <w:uiPriority w:val="0"/>
    <w:rPr>
      <w:rFonts w:hint="eastAsia" w:ascii="宋体" w:hAnsi="宋体" w:eastAsia="宋体" w:cs="宋体"/>
      <w:color w:val="800080"/>
      <w:sz w:val="22"/>
      <w:szCs w:val="22"/>
      <w:u w:val="single"/>
    </w:rPr>
  </w:style>
  <w:style w:type="table" w:customStyle="1" w:styleId="126">
    <w:name w:val="输入1"/>
    <w:basedOn w:val="10"/>
    <w:qFormat/>
    <w:uiPriority w:val="0"/>
    <w:rPr>
      <w:rFonts w:hint="eastAsia" w:ascii="宋体" w:hAnsi="宋体" w:eastAsia="宋体" w:cs="宋体"/>
      <w:color w:val="3F3F76"/>
      <w:sz w:val="22"/>
      <w:szCs w:val="22"/>
      <w:u w:val="none"/>
    </w:rPr>
    <w:tblPr>
      <w:tblBorders>
        <w:top w:val="single" w:color="7F7F7F" w:sz="4" w:space="0"/>
        <w:left w:val="single" w:color="7F7F7F" w:sz="4" w:space="0"/>
        <w:bottom w:val="single" w:color="7F7F7F" w:sz="4" w:space="0"/>
        <w:right w:val="single" w:color="7F7F7F" w:sz="4" w:space="0"/>
      </w:tblBorders>
    </w:tblPr>
    <w:tcPr>
      <w:tcBorders>
        <w:top w:val="single" w:color="7F7F7F" w:sz="4" w:space="0"/>
        <w:left w:val="single" w:color="7F7F7F" w:sz="4" w:space="0"/>
        <w:bottom w:val="single" w:color="7F7F7F" w:sz="4" w:space="0"/>
        <w:right w:val="single" w:color="7F7F7F" w:sz="4" w:space="0"/>
      </w:tcBorders>
      <w:shd w:val="clear" w:color="auto" w:fill="FFCC99"/>
    </w:tcPr>
  </w:style>
  <w:style w:type="table" w:customStyle="1" w:styleId="127">
    <w:name w:val="60% - 强调文字颜色 21"/>
    <w:basedOn w:val="10"/>
    <w:qFormat/>
    <w:uiPriority w:val="0"/>
    <w:rPr>
      <w:rFonts w:hint="eastAsia" w:ascii="宋体" w:hAnsi="宋体" w:eastAsia="宋体" w:cs="宋体"/>
      <w:color w:val="FFFFFF"/>
      <w:sz w:val="22"/>
      <w:szCs w:val="22"/>
      <w:u w:val="none"/>
    </w:rPr>
    <w:tcPr>
      <w:shd w:val="clear" w:color="auto" w:fill="F4B084"/>
    </w:tcPr>
  </w:style>
  <w:style w:type="table" w:customStyle="1" w:styleId="128">
    <w:name w:val="链接单元格1"/>
    <w:basedOn w:val="10"/>
    <w:qFormat/>
    <w:uiPriority w:val="0"/>
    <w:rPr>
      <w:rFonts w:hint="eastAsia" w:ascii="宋体" w:hAnsi="宋体" w:eastAsia="宋体" w:cs="宋体"/>
      <w:color w:val="FA7D00"/>
      <w:sz w:val="22"/>
      <w:szCs w:val="22"/>
      <w:u w:val="none"/>
    </w:rPr>
    <w:tblPr>
      <w:tblBorders>
        <w:bottom w:val="double" w:color="FF8001" w:sz="4" w:space="0"/>
      </w:tblBorders>
    </w:tblPr>
    <w:tcPr>
      <w:tcBorders>
        <w:top w:val="nil"/>
        <w:left w:val="nil"/>
        <w:bottom w:val="double" w:color="FF8001" w:sz="4" w:space="0"/>
        <w:right w:val="nil"/>
      </w:tcBorders>
    </w:tcPr>
  </w:style>
  <w:style w:type="table" w:customStyle="1" w:styleId="129">
    <w:name w:val="货币[0]1"/>
    <w:basedOn w:val="10"/>
    <w:qFormat/>
    <w:uiPriority w:val="0"/>
  </w:style>
  <w:style w:type="table" w:customStyle="1" w:styleId="130">
    <w:name w:val="60% - 强调文字颜色 41"/>
    <w:basedOn w:val="10"/>
    <w:qFormat/>
    <w:uiPriority w:val="0"/>
    <w:rPr>
      <w:rFonts w:hint="eastAsia" w:ascii="宋体" w:hAnsi="宋体" w:eastAsia="宋体" w:cs="宋体"/>
      <w:color w:val="FFFFFF"/>
      <w:sz w:val="22"/>
      <w:szCs w:val="22"/>
      <w:u w:val="none"/>
    </w:rPr>
    <w:tcPr>
      <w:shd w:val="clear" w:color="auto" w:fill="FFD966"/>
    </w:tcPr>
  </w:style>
  <w:style w:type="table" w:customStyle="1" w:styleId="131">
    <w:name w:val="千位分隔[0]1"/>
    <w:basedOn w:val="10"/>
    <w:qFormat/>
    <w:uiPriority w:val="0"/>
  </w:style>
  <w:style w:type="table" w:customStyle="1" w:styleId="132">
    <w:name w:val="40% - 强调文字颜色 41"/>
    <w:basedOn w:val="10"/>
    <w:qFormat/>
    <w:uiPriority w:val="0"/>
    <w:rPr>
      <w:rFonts w:hint="eastAsia" w:ascii="宋体" w:hAnsi="宋体" w:eastAsia="宋体" w:cs="宋体"/>
      <w:color w:val="000000"/>
      <w:sz w:val="22"/>
      <w:szCs w:val="22"/>
      <w:u w:val="none"/>
    </w:rPr>
    <w:tcPr>
      <w:shd w:val="clear" w:color="auto" w:fill="FFE699"/>
    </w:tcPr>
  </w:style>
  <w:style w:type="table" w:customStyle="1" w:styleId="133">
    <w:name w:val="注释1"/>
    <w:basedOn w:val="10"/>
    <w:qFormat/>
    <w:uiPriority w:val="0"/>
    <w:tblPr>
      <w:tblBorders>
        <w:top w:val="single" w:color="B2B2B2" w:sz="4" w:space="0"/>
        <w:left w:val="single" w:color="B2B2B2" w:sz="4" w:space="0"/>
        <w:bottom w:val="single" w:color="B2B2B2" w:sz="4" w:space="0"/>
        <w:right w:val="single" w:color="B2B2B2" w:sz="4" w:space="0"/>
      </w:tblBorders>
    </w:tblPr>
    <w:tcPr>
      <w:tcBorders>
        <w:top w:val="single" w:color="B2B2B2" w:sz="4" w:space="0"/>
        <w:left w:val="single" w:color="B2B2B2" w:sz="4" w:space="0"/>
        <w:bottom w:val="single" w:color="B2B2B2" w:sz="4" w:space="0"/>
        <w:right w:val="single" w:color="B2B2B2" w:sz="4" w:space="0"/>
      </w:tcBorders>
      <w:shd w:val="clear" w:color="auto" w:fill="FFFFCC"/>
    </w:tcPr>
  </w:style>
  <w:style w:type="table" w:customStyle="1" w:styleId="134">
    <w:name w:val="计算1"/>
    <w:basedOn w:val="10"/>
    <w:qFormat/>
    <w:uiPriority w:val="0"/>
    <w:rPr>
      <w:rFonts w:hint="eastAsia" w:ascii="宋体" w:hAnsi="宋体" w:eastAsia="宋体" w:cs="宋体"/>
      <w:b/>
      <w:bCs/>
      <w:color w:val="FA7D00"/>
      <w:sz w:val="22"/>
      <w:szCs w:val="22"/>
      <w:u w:val="none"/>
    </w:rPr>
    <w:tblPr>
      <w:tblBorders>
        <w:top w:val="single" w:color="7F7F7F" w:sz="4" w:space="0"/>
        <w:left w:val="single" w:color="7F7F7F" w:sz="4" w:space="0"/>
        <w:bottom w:val="single" w:color="7F7F7F" w:sz="4" w:space="0"/>
        <w:right w:val="single" w:color="7F7F7F" w:sz="4" w:space="0"/>
      </w:tblBorders>
    </w:tblPr>
    <w:tcPr>
      <w:tcBorders>
        <w:top w:val="single" w:color="7F7F7F" w:sz="4" w:space="0"/>
        <w:left w:val="single" w:color="7F7F7F" w:sz="4" w:space="0"/>
        <w:bottom w:val="single" w:color="7F7F7F" w:sz="4" w:space="0"/>
        <w:right w:val="single" w:color="7F7F7F" w:sz="4" w:space="0"/>
      </w:tcBorders>
      <w:shd w:val="clear" w:color="auto" w:fill="F2F2F2"/>
    </w:tcPr>
  </w:style>
  <w:style w:type="table" w:customStyle="1" w:styleId="135">
    <w:name w:val="60% - 强调文字颜色 61"/>
    <w:basedOn w:val="10"/>
    <w:qFormat/>
    <w:uiPriority w:val="0"/>
    <w:rPr>
      <w:rFonts w:hint="eastAsia" w:ascii="宋体" w:hAnsi="宋体" w:eastAsia="宋体" w:cs="宋体"/>
      <w:color w:val="FFFFFF"/>
      <w:sz w:val="22"/>
      <w:szCs w:val="22"/>
      <w:u w:val="none"/>
    </w:rPr>
    <w:tcPr>
      <w:shd w:val="clear" w:color="auto" w:fill="A9D08E"/>
    </w:tcPr>
  </w:style>
  <w:style w:type="table" w:customStyle="1" w:styleId="136">
    <w:name w:val="好1"/>
    <w:basedOn w:val="10"/>
    <w:qFormat/>
    <w:uiPriority w:val="0"/>
    <w:rPr>
      <w:rFonts w:hint="eastAsia" w:ascii="宋体" w:hAnsi="宋体" w:eastAsia="宋体" w:cs="宋体"/>
      <w:color w:val="006100"/>
      <w:sz w:val="22"/>
      <w:szCs w:val="22"/>
      <w:u w:val="none"/>
    </w:rPr>
    <w:tcPr>
      <w:shd w:val="clear" w:color="auto" w:fill="C6EFCE"/>
    </w:tcPr>
  </w:style>
  <w:style w:type="table" w:customStyle="1" w:styleId="137">
    <w:name w:val="差1"/>
    <w:basedOn w:val="10"/>
    <w:qFormat/>
    <w:uiPriority w:val="0"/>
    <w:rPr>
      <w:rFonts w:hint="eastAsia" w:ascii="宋体" w:hAnsi="宋体" w:eastAsia="宋体" w:cs="宋体"/>
      <w:color w:val="9C0006"/>
      <w:sz w:val="22"/>
      <w:szCs w:val="22"/>
      <w:u w:val="none"/>
    </w:rPr>
    <w:tcPr>
      <w:shd w:val="clear" w:color="auto" w:fill="FFC7CE"/>
    </w:tcPr>
  </w:style>
  <w:style w:type="table" w:customStyle="1" w:styleId="138">
    <w:name w:val="适中1"/>
    <w:basedOn w:val="10"/>
    <w:qFormat/>
    <w:uiPriority w:val="0"/>
    <w:rPr>
      <w:rFonts w:hint="eastAsia" w:ascii="宋体" w:hAnsi="宋体" w:eastAsia="宋体" w:cs="宋体"/>
      <w:color w:val="9C6500"/>
      <w:sz w:val="22"/>
      <w:szCs w:val="22"/>
      <w:u w:val="none"/>
    </w:rPr>
    <w:tcPr>
      <w:shd w:val="clear" w:color="auto" w:fill="FFEB9C"/>
    </w:tcPr>
  </w:style>
  <w:style w:type="table" w:customStyle="1" w:styleId="139">
    <w:name w:val="强调文字颜色 11"/>
    <w:basedOn w:val="10"/>
    <w:qFormat/>
    <w:uiPriority w:val="0"/>
    <w:rPr>
      <w:rFonts w:hint="eastAsia" w:ascii="宋体" w:hAnsi="宋体" w:eastAsia="宋体" w:cs="宋体"/>
      <w:color w:val="FFFFFF"/>
      <w:sz w:val="22"/>
      <w:szCs w:val="22"/>
      <w:u w:val="none"/>
    </w:rPr>
    <w:tcPr>
      <w:shd w:val="clear" w:color="auto" w:fill="5B9BD5"/>
    </w:tcPr>
  </w:style>
  <w:style w:type="table" w:customStyle="1" w:styleId="140">
    <w:name w:val="20% - 强调文字颜色 11"/>
    <w:basedOn w:val="10"/>
    <w:qFormat/>
    <w:uiPriority w:val="0"/>
    <w:rPr>
      <w:rFonts w:hint="eastAsia" w:ascii="宋体" w:hAnsi="宋体" w:eastAsia="宋体" w:cs="宋体"/>
      <w:color w:val="000000"/>
      <w:sz w:val="22"/>
      <w:szCs w:val="22"/>
      <w:u w:val="none"/>
    </w:rPr>
    <w:tcPr>
      <w:shd w:val="clear" w:color="auto" w:fill="DDEBF7"/>
    </w:tcPr>
  </w:style>
  <w:style w:type="table" w:customStyle="1" w:styleId="141">
    <w:name w:val="40% - 强调文字颜色 21"/>
    <w:basedOn w:val="10"/>
    <w:qFormat/>
    <w:uiPriority w:val="0"/>
    <w:rPr>
      <w:rFonts w:hint="eastAsia" w:ascii="宋体" w:hAnsi="宋体" w:eastAsia="宋体" w:cs="宋体"/>
      <w:color w:val="000000"/>
      <w:sz w:val="22"/>
      <w:szCs w:val="22"/>
      <w:u w:val="none"/>
    </w:rPr>
    <w:tcPr>
      <w:shd w:val="clear" w:color="auto" w:fill="F8CBAD"/>
    </w:tcPr>
  </w:style>
  <w:style w:type="table" w:customStyle="1" w:styleId="142">
    <w:name w:val="60% - 强调文字颜色 11"/>
    <w:basedOn w:val="10"/>
    <w:qFormat/>
    <w:uiPriority w:val="0"/>
    <w:rPr>
      <w:rFonts w:hint="eastAsia" w:ascii="宋体" w:hAnsi="宋体" w:eastAsia="宋体" w:cs="宋体"/>
      <w:color w:val="FFFFFF"/>
      <w:sz w:val="22"/>
      <w:szCs w:val="22"/>
      <w:u w:val="none"/>
    </w:rPr>
    <w:tcPr>
      <w:shd w:val="clear" w:color="auto" w:fill="9BC2E6"/>
    </w:tcPr>
  </w:style>
  <w:style w:type="table" w:customStyle="1" w:styleId="143">
    <w:name w:val="强调文字颜色 31"/>
    <w:basedOn w:val="10"/>
    <w:qFormat/>
    <w:uiPriority w:val="0"/>
    <w:rPr>
      <w:rFonts w:hint="eastAsia" w:ascii="宋体" w:hAnsi="宋体" w:eastAsia="宋体" w:cs="宋体"/>
      <w:color w:val="FFFFFF"/>
      <w:sz w:val="22"/>
      <w:szCs w:val="22"/>
      <w:u w:val="none"/>
    </w:rPr>
    <w:tcPr>
      <w:shd w:val="clear" w:color="auto" w:fill="A5A5A5"/>
    </w:tcPr>
  </w:style>
  <w:style w:type="table" w:customStyle="1" w:styleId="144">
    <w:name w:val="20% - 强调文字颜色 31"/>
    <w:basedOn w:val="10"/>
    <w:qFormat/>
    <w:uiPriority w:val="0"/>
    <w:rPr>
      <w:rFonts w:hint="eastAsia" w:ascii="宋体" w:hAnsi="宋体" w:eastAsia="宋体" w:cs="宋体"/>
      <w:color w:val="000000"/>
      <w:sz w:val="22"/>
      <w:szCs w:val="22"/>
      <w:u w:val="none"/>
    </w:rPr>
    <w:tcPr>
      <w:shd w:val="clear" w:color="auto" w:fill="EDEDED"/>
    </w:tcPr>
  </w:style>
  <w:style w:type="table" w:customStyle="1" w:styleId="145">
    <w:name w:val="60% - 强调文字颜色 31"/>
    <w:basedOn w:val="10"/>
    <w:qFormat/>
    <w:uiPriority w:val="0"/>
    <w:rPr>
      <w:rFonts w:hint="eastAsia" w:ascii="宋体" w:hAnsi="宋体" w:eastAsia="宋体" w:cs="宋体"/>
      <w:color w:val="FFFFFF"/>
      <w:sz w:val="22"/>
      <w:szCs w:val="22"/>
      <w:u w:val="none"/>
    </w:rPr>
    <w:tcPr>
      <w:shd w:val="clear" w:color="auto" w:fill="C9C9C9"/>
    </w:tcPr>
  </w:style>
  <w:style w:type="table" w:customStyle="1" w:styleId="146">
    <w:name w:val="强调文字颜色 41"/>
    <w:basedOn w:val="10"/>
    <w:qFormat/>
    <w:uiPriority w:val="0"/>
    <w:rPr>
      <w:rFonts w:hint="eastAsia" w:ascii="宋体" w:hAnsi="宋体" w:eastAsia="宋体" w:cs="宋体"/>
      <w:color w:val="FFFFFF"/>
      <w:sz w:val="22"/>
      <w:szCs w:val="22"/>
      <w:u w:val="none"/>
    </w:rPr>
    <w:tcPr>
      <w:shd w:val="clear" w:color="auto" w:fill="FFC000"/>
    </w:tcPr>
  </w:style>
  <w:style w:type="table" w:customStyle="1" w:styleId="147">
    <w:name w:val="20% - 强调文字颜色 41"/>
    <w:basedOn w:val="10"/>
    <w:qFormat/>
    <w:uiPriority w:val="0"/>
    <w:rPr>
      <w:rFonts w:hint="eastAsia" w:ascii="宋体" w:hAnsi="宋体" w:eastAsia="宋体" w:cs="宋体"/>
      <w:color w:val="000000"/>
      <w:sz w:val="22"/>
      <w:szCs w:val="22"/>
      <w:u w:val="none"/>
    </w:rPr>
    <w:tcPr>
      <w:shd w:val="clear" w:color="auto" w:fill="FFF2CC"/>
    </w:tcPr>
  </w:style>
  <w:style w:type="table" w:customStyle="1" w:styleId="148">
    <w:name w:val="强调文字颜色 51"/>
    <w:basedOn w:val="10"/>
    <w:qFormat/>
    <w:uiPriority w:val="0"/>
    <w:rPr>
      <w:rFonts w:hint="eastAsia" w:ascii="宋体" w:hAnsi="宋体" w:eastAsia="宋体" w:cs="宋体"/>
      <w:color w:val="FFFFFF"/>
      <w:sz w:val="22"/>
      <w:szCs w:val="22"/>
      <w:u w:val="none"/>
    </w:rPr>
    <w:tcPr>
      <w:shd w:val="clear" w:color="auto" w:fill="4472C4"/>
    </w:tcPr>
  </w:style>
  <w:style w:type="table" w:customStyle="1" w:styleId="149">
    <w:name w:val="40% - 强调文字颜色 51"/>
    <w:basedOn w:val="10"/>
    <w:qFormat/>
    <w:uiPriority w:val="0"/>
    <w:rPr>
      <w:rFonts w:hint="eastAsia" w:ascii="宋体" w:hAnsi="宋体" w:eastAsia="宋体" w:cs="宋体"/>
      <w:color w:val="000000"/>
      <w:sz w:val="22"/>
      <w:szCs w:val="22"/>
      <w:u w:val="none"/>
    </w:rPr>
    <w:tcPr>
      <w:shd w:val="clear" w:color="auto" w:fill="B4C6E7"/>
    </w:tcPr>
  </w:style>
  <w:style w:type="table" w:customStyle="1" w:styleId="150">
    <w:name w:val="60% - 强调文字颜色 51"/>
    <w:basedOn w:val="10"/>
    <w:qFormat/>
    <w:uiPriority w:val="0"/>
    <w:rPr>
      <w:rFonts w:hint="eastAsia" w:ascii="宋体" w:hAnsi="宋体" w:eastAsia="宋体" w:cs="宋体"/>
      <w:color w:val="FFFFFF"/>
      <w:sz w:val="22"/>
      <w:szCs w:val="22"/>
      <w:u w:val="none"/>
    </w:rPr>
    <w:tcPr>
      <w:shd w:val="clear" w:color="auto" w:fill="8EA9DB"/>
    </w:tcPr>
  </w:style>
  <w:style w:type="table" w:customStyle="1" w:styleId="151">
    <w:name w:val="强调文字颜色 61"/>
    <w:basedOn w:val="10"/>
    <w:qFormat/>
    <w:uiPriority w:val="0"/>
    <w:rPr>
      <w:rFonts w:hint="eastAsia" w:ascii="宋体" w:hAnsi="宋体" w:eastAsia="宋体" w:cs="宋体"/>
      <w:color w:val="FFFFFF"/>
      <w:sz w:val="22"/>
      <w:szCs w:val="22"/>
      <w:u w:val="none"/>
    </w:rPr>
    <w:tcPr>
      <w:shd w:val="clear" w:color="auto" w:fill="70AD47"/>
    </w:tcPr>
  </w:style>
  <w:style w:type="table" w:customStyle="1" w:styleId="152">
    <w:name w:val="20% - 强调文字颜色 61"/>
    <w:basedOn w:val="10"/>
    <w:qFormat/>
    <w:uiPriority w:val="0"/>
    <w:rPr>
      <w:rFonts w:hint="eastAsia" w:ascii="宋体" w:hAnsi="宋体" w:eastAsia="宋体" w:cs="宋体"/>
      <w:color w:val="000000"/>
      <w:sz w:val="22"/>
      <w:szCs w:val="22"/>
      <w:u w:val="none"/>
    </w:rPr>
    <w:tcPr>
      <w:shd w:val="clear" w:color="auto" w:fill="E2EFDA"/>
    </w:tcPr>
  </w:style>
  <w:style w:type="table" w:customStyle="1" w:styleId="153">
    <w:name w:val="40% - 强调文字颜色 61"/>
    <w:basedOn w:val="10"/>
    <w:qFormat/>
    <w:uiPriority w:val="0"/>
    <w:rPr>
      <w:rFonts w:hint="eastAsia" w:ascii="宋体" w:hAnsi="宋体" w:eastAsia="宋体" w:cs="宋体"/>
      <w:color w:val="000000"/>
      <w:sz w:val="22"/>
      <w:szCs w:val="22"/>
      <w:u w:val="none"/>
    </w:rPr>
    <w:tcPr>
      <w:shd w:val="clear" w:color="auto" w:fill="C6E0B4"/>
    </w:tcPr>
  </w:style>
  <w:style w:type="character" w:customStyle="1" w:styleId="154">
    <w:name w:val="font11"/>
    <w:basedOn w:val="11"/>
    <w:qFormat/>
    <w:uiPriority w:val="0"/>
    <w:rPr>
      <w:rFonts w:hint="eastAsia" w:ascii="黑体" w:hAnsi="宋体" w:eastAsia="黑体" w:cs="黑体"/>
      <w:color w:val="000000"/>
      <w:sz w:val="24"/>
      <w:szCs w:val="24"/>
      <w:u w:val="none"/>
    </w:rPr>
  </w:style>
  <w:style w:type="character" w:customStyle="1" w:styleId="155">
    <w:name w:val="font251"/>
    <w:basedOn w:val="11"/>
    <w:qFormat/>
    <w:uiPriority w:val="0"/>
    <w:rPr>
      <w:rFonts w:hint="default" w:ascii="Times New Roman" w:hAnsi="Times New Roman" w:cs="Times New Roman"/>
      <w:color w:val="000000"/>
      <w:sz w:val="24"/>
      <w:szCs w:val="24"/>
      <w:u w:val="none"/>
    </w:rPr>
  </w:style>
  <w:style w:type="character" w:customStyle="1" w:styleId="156">
    <w:name w:val="font41"/>
    <w:basedOn w:val="11"/>
    <w:qFormat/>
    <w:uiPriority w:val="0"/>
    <w:rPr>
      <w:rFonts w:hint="default"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172</Pages>
  <Words>51456</Words>
  <Characters>53137</Characters>
  <TotalTime>21</TotalTime>
  <ScaleCrop>false</ScaleCrop>
  <LinksUpToDate>false</LinksUpToDate>
  <CharactersWithSpaces>53468</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2026-09-07T21:57:00Z</dcterms:created>
  <dc:creator>Dell</dc:creator>
  <cp:lastModifiedBy>谷</cp:lastModifiedBy>
  <dcterms:modified xsi:type="dcterms:W3CDTF">2026-09-11T02:09:39Z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31E9BCC81E2C46679AAD24F60A85C709_13</vt:lpwstr>
  </property>
  <property fmtid="{D5CDD505-2E9C-101B-9397-08002B2CF9AE}" pid="4" name="KSOTemplateDocerSaveRecord">
    <vt:lpwstr>eyJoZGlkIjoiOTNiMTBlM2FmYTRjNDQxYmE5NDhkYzc4ZmY3MzVhYTkiLCJ1c2VySWQiOiI0NjM1MzA3NTIifQ==</vt:lpwstr>
  </property>
</Properties>
</file>